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2"/>
        <w:tblW w:w="8177" w:type="dxa"/>
        <w:jc w:val="center"/>
        <w:tblLayout w:type="autofit"/>
        <w:tblCellMar>
          <w:top w:w="0" w:type="dxa"/>
          <w:left w:w="108" w:type="dxa"/>
          <w:bottom w:w="0" w:type="dxa"/>
          <w:right w:w="108" w:type="dxa"/>
        </w:tblCellMar>
      </w:tblPr>
      <w:tblGrid>
        <w:gridCol w:w="8177"/>
      </w:tblGrid>
      <w:tr w14:paraId="6DA67128">
        <w:tblPrEx>
          <w:tblCellMar>
            <w:top w:w="0" w:type="dxa"/>
            <w:left w:w="108" w:type="dxa"/>
            <w:bottom w:w="0" w:type="dxa"/>
            <w:right w:w="108" w:type="dxa"/>
          </w:tblCellMar>
        </w:tblPrEx>
        <w:trPr>
          <w:trHeight w:val="1701" w:hRule="atLeast"/>
          <w:jc w:val="center"/>
        </w:trPr>
        <w:tc>
          <w:tcPr>
            <w:tcW w:w="8177" w:type="dxa"/>
            <w:vAlign w:val="center"/>
          </w:tcPr>
          <w:p w14:paraId="0FB86E75">
            <w:pPr>
              <w:spacing w:line="360" w:lineRule="auto"/>
              <w:jc w:val="center"/>
              <w:rPr>
                <w:rFonts w:eastAsia="黑体"/>
                <w:spacing w:val="20"/>
                <w:sz w:val="32"/>
                <w:szCs w:val="32"/>
              </w:rPr>
            </w:pPr>
            <w:r>
              <w:rPr>
                <w:rFonts w:hint="eastAsia" w:eastAsia="黑体"/>
                <w:spacing w:val="20"/>
                <w:sz w:val="32"/>
              </w:rPr>
              <w:t>中国核学会</w:t>
            </w:r>
            <w:r>
              <w:rPr>
                <w:rFonts w:eastAsia="黑体"/>
                <w:spacing w:val="20"/>
                <w:sz w:val="32"/>
              </w:rPr>
              <w:t>标准</w:t>
            </w:r>
          </w:p>
        </w:tc>
      </w:tr>
      <w:tr w14:paraId="1DF46A9C">
        <w:tblPrEx>
          <w:tblCellMar>
            <w:top w:w="0" w:type="dxa"/>
            <w:left w:w="108" w:type="dxa"/>
            <w:bottom w:w="0" w:type="dxa"/>
            <w:right w:w="108" w:type="dxa"/>
          </w:tblCellMar>
        </w:tblPrEx>
        <w:trPr>
          <w:trHeight w:val="4535" w:hRule="atLeast"/>
          <w:jc w:val="center"/>
        </w:trPr>
        <w:tc>
          <w:tcPr>
            <w:tcW w:w="8177" w:type="dxa"/>
            <w:vAlign w:val="center"/>
          </w:tcPr>
          <w:p w14:paraId="4DF319D9">
            <w:pPr>
              <w:spacing w:line="720" w:lineRule="auto"/>
              <w:jc w:val="center"/>
              <w:rPr>
                <w:rFonts w:eastAsia="黑体" w:cs="黑体"/>
                <w:spacing w:val="20"/>
                <w:sz w:val="44"/>
                <w:szCs w:val="44"/>
              </w:rPr>
            </w:pPr>
            <w:r>
              <w:rPr>
                <w:rFonts w:hint="eastAsia" w:eastAsia="黑体" w:cs="黑体"/>
                <w:spacing w:val="20"/>
                <w:sz w:val="44"/>
                <w:szCs w:val="44"/>
              </w:rPr>
              <w:t>高温气冷堆核动力厂堆内构件安装及验收技术规程</w:t>
            </w:r>
          </w:p>
          <w:p w14:paraId="569D3F3C">
            <w:pPr>
              <w:spacing w:line="720" w:lineRule="auto"/>
              <w:jc w:val="center"/>
              <w:rPr>
                <w:rFonts w:eastAsia="黑体"/>
                <w:spacing w:val="20"/>
                <w:sz w:val="44"/>
                <w:szCs w:val="44"/>
              </w:rPr>
            </w:pPr>
            <w:r>
              <w:rPr>
                <w:rFonts w:hint="eastAsia" w:eastAsia="黑体" w:cs="黑体"/>
                <w:spacing w:val="20"/>
                <w:sz w:val="44"/>
                <w:szCs w:val="44"/>
              </w:rPr>
              <w:t>（征求意见稿）</w:t>
            </w:r>
          </w:p>
        </w:tc>
      </w:tr>
      <w:tr w14:paraId="3BF0937C">
        <w:tblPrEx>
          <w:tblCellMar>
            <w:top w:w="0" w:type="dxa"/>
            <w:left w:w="108" w:type="dxa"/>
            <w:bottom w:w="0" w:type="dxa"/>
            <w:right w:w="108" w:type="dxa"/>
          </w:tblCellMar>
        </w:tblPrEx>
        <w:trPr>
          <w:trHeight w:val="4535" w:hRule="atLeast"/>
          <w:jc w:val="center"/>
        </w:trPr>
        <w:tc>
          <w:tcPr>
            <w:tcW w:w="8177" w:type="dxa"/>
            <w:vAlign w:val="center"/>
          </w:tcPr>
          <w:p w14:paraId="2DD01FED">
            <w:pPr>
              <w:spacing w:line="360" w:lineRule="auto"/>
              <w:jc w:val="center"/>
              <w:rPr>
                <w:rFonts w:eastAsia="黑体"/>
                <w:spacing w:val="20"/>
                <w:sz w:val="44"/>
                <w:szCs w:val="44"/>
              </w:rPr>
            </w:pPr>
            <w:r>
              <w:rPr>
                <w:rFonts w:hint="eastAsia" w:eastAsia="黑体"/>
                <w:spacing w:val="20"/>
                <w:sz w:val="44"/>
                <w:szCs w:val="32"/>
              </w:rPr>
              <w:t>编制说明</w:t>
            </w:r>
          </w:p>
        </w:tc>
      </w:tr>
      <w:tr w14:paraId="122E4394">
        <w:tblPrEx>
          <w:tblCellMar>
            <w:top w:w="0" w:type="dxa"/>
            <w:left w:w="108" w:type="dxa"/>
            <w:bottom w:w="0" w:type="dxa"/>
            <w:right w:w="108" w:type="dxa"/>
          </w:tblCellMar>
        </w:tblPrEx>
        <w:trPr>
          <w:trHeight w:val="2835" w:hRule="atLeast"/>
          <w:jc w:val="center"/>
        </w:trPr>
        <w:tc>
          <w:tcPr>
            <w:tcW w:w="8177" w:type="dxa"/>
            <w:vAlign w:val="center"/>
          </w:tcPr>
          <w:p w14:paraId="3C65DD7F">
            <w:pPr>
              <w:spacing w:line="360" w:lineRule="auto"/>
              <w:jc w:val="center"/>
              <w:rPr>
                <w:rFonts w:eastAsia="黑体"/>
                <w:color w:val="0070C0"/>
                <w:spacing w:val="20"/>
                <w:sz w:val="32"/>
              </w:rPr>
            </w:pPr>
            <w:r>
              <w:rPr>
                <w:rFonts w:hint="eastAsia" w:eastAsia="黑体"/>
                <w:color w:val="0070C0"/>
                <w:spacing w:val="20"/>
                <w:sz w:val="32"/>
              </w:rPr>
              <w:t>中国核工业二三建设有限公司</w:t>
            </w:r>
          </w:p>
          <w:p w14:paraId="36B81488">
            <w:pPr>
              <w:spacing w:line="360" w:lineRule="auto"/>
              <w:jc w:val="center"/>
              <w:rPr>
                <w:rFonts w:eastAsia="黑体"/>
                <w:sz w:val="28"/>
                <w:szCs w:val="28"/>
              </w:rPr>
            </w:pPr>
            <w:r>
              <w:rPr>
                <w:rFonts w:eastAsia="黑体"/>
                <w:spacing w:val="20"/>
                <w:sz w:val="32"/>
              </w:rPr>
              <w:t>20</w:t>
            </w:r>
            <w:r>
              <w:rPr>
                <w:rFonts w:hint="eastAsia" w:eastAsia="黑体"/>
                <w:spacing w:val="20"/>
                <w:sz w:val="32"/>
              </w:rPr>
              <w:t>26年6月</w:t>
            </w:r>
          </w:p>
        </w:tc>
      </w:tr>
    </w:tbl>
    <w:p w14:paraId="486A32D6">
      <w:pPr>
        <w:snapToGrid w:val="0"/>
        <w:jc w:val="center"/>
        <w:rPr>
          <w:rFonts w:ascii="黑体" w:eastAsia="黑体"/>
          <w:spacing w:val="20"/>
          <w:sz w:val="30"/>
          <w:szCs w:val="30"/>
        </w:rPr>
        <w:sectPr>
          <w:footerReference r:id="rId3" w:type="default"/>
          <w:pgSz w:w="11906" w:h="16838"/>
          <w:pgMar w:top="1440" w:right="1800" w:bottom="1440" w:left="1800" w:header="851" w:footer="992" w:gutter="0"/>
          <w:cols w:space="425" w:num="1"/>
          <w:docGrid w:type="lines" w:linePitch="312" w:charSpace="0"/>
        </w:sectPr>
      </w:pPr>
    </w:p>
    <w:p w14:paraId="544A1A61">
      <w:pPr>
        <w:snapToGrid w:val="0"/>
        <w:jc w:val="center"/>
        <w:rPr>
          <w:rFonts w:ascii="黑体" w:eastAsia="黑体"/>
          <w:spacing w:val="20"/>
          <w:sz w:val="30"/>
          <w:szCs w:val="30"/>
        </w:rPr>
      </w:pPr>
    </w:p>
    <w:p w14:paraId="10C500EE">
      <w:pPr>
        <w:snapToGrid w:val="0"/>
        <w:jc w:val="center"/>
        <w:rPr>
          <w:rFonts w:ascii="黑体" w:eastAsia="黑体"/>
          <w:sz w:val="32"/>
          <w:szCs w:val="32"/>
        </w:rPr>
      </w:pPr>
      <w:r>
        <w:rPr>
          <w:rFonts w:hint="eastAsia" w:ascii="黑体" w:eastAsia="黑体"/>
          <w:spacing w:val="20"/>
          <w:sz w:val="32"/>
          <w:szCs w:val="30"/>
        </w:rPr>
        <w:t>标准名称</w:t>
      </w:r>
    </w:p>
    <w:p w14:paraId="3525292A">
      <w:pPr>
        <w:numPr>
          <w:ilvl w:val="0"/>
          <w:numId w:val="1"/>
        </w:numPr>
        <w:spacing w:before="240" w:after="240" w:line="360" w:lineRule="auto"/>
        <w:rPr>
          <w:rFonts w:eastAsia="黑体"/>
          <w:sz w:val="28"/>
          <w:szCs w:val="28"/>
        </w:rPr>
      </w:pPr>
      <w:r>
        <w:rPr>
          <w:rFonts w:eastAsia="黑体"/>
          <w:sz w:val="28"/>
          <w:szCs w:val="28"/>
        </w:rPr>
        <w:t>任务来源及计划要求</w:t>
      </w:r>
    </w:p>
    <w:p w14:paraId="3BDFA1F1">
      <w:pPr>
        <w:spacing w:line="360" w:lineRule="auto"/>
        <w:ind w:firstLine="480" w:firstLineChars="200"/>
        <w:rPr>
          <w:rFonts w:hint="eastAsia" w:ascii="宋体" w:hAnsi="宋体"/>
          <w:kern w:val="0"/>
          <w:sz w:val="24"/>
        </w:rPr>
      </w:pPr>
      <w:r>
        <w:rPr>
          <w:rFonts w:ascii="宋体" w:hAnsi="宋体"/>
          <w:kern w:val="0"/>
          <w:sz w:val="24"/>
          <w:lang w:val="zh-CN"/>
        </w:rPr>
        <w:t>本标准</w:t>
      </w:r>
      <w:r>
        <w:rPr>
          <w:rFonts w:hint="eastAsia" w:ascii="宋体" w:hAnsi="宋体"/>
          <w:kern w:val="0"/>
          <w:sz w:val="24"/>
          <w:lang w:val="zh-CN"/>
        </w:rPr>
        <w:t>制修订</w:t>
      </w:r>
      <w:r>
        <w:rPr>
          <w:rFonts w:ascii="宋体" w:hAnsi="宋体"/>
          <w:kern w:val="0"/>
          <w:sz w:val="24"/>
          <w:lang w:val="zh-CN"/>
        </w:rPr>
        <w:t>任务由</w:t>
      </w:r>
      <w:r>
        <w:rPr>
          <w:rFonts w:hint="eastAsia" w:ascii="宋体" w:hAnsi="宋体"/>
          <w:kern w:val="0"/>
          <w:sz w:val="24"/>
          <w:lang w:val="zh-CN"/>
        </w:rPr>
        <w:t>中国核学会《</w:t>
      </w:r>
      <w:r>
        <w:rPr>
          <w:rFonts w:ascii="宋体" w:hAnsi="宋体"/>
          <w:kern w:val="0"/>
          <w:sz w:val="24"/>
          <w:lang w:val="zh-CN"/>
        </w:rPr>
        <w:t>关于下达2025年度第一批中国核学会团体标准立项计划的通知</w:t>
      </w:r>
      <w:r>
        <w:rPr>
          <w:rFonts w:hint="eastAsia" w:ascii="宋体" w:hAnsi="宋体"/>
          <w:kern w:val="0"/>
          <w:sz w:val="24"/>
          <w:lang w:val="zh-CN"/>
        </w:rPr>
        <w:t>》（中核学发【202</w:t>
      </w:r>
      <w:r>
        <w:rPr>
          <w:rFonts w:hint="eastAsia" w:ascii="宋体" w:hAnsi="宋体"/>
          <w:kern w:val="0"/>
          <w:sz w:val="24"/>
        </w:rPr>
        <w:t>5</w:t>
      </w:r>
      <w:r>
        <w:rPr>
          <w:rFonts w:hint="eastAsia" w:ascii="宋体" w:hAnsi="宋体"/>
          <w:kern w:val="0"/>
          <w:sz w:val="24"/>
          <w:lang w:val="zh-CN"/>
        </w:rPr>
        <w:t>】</w:t>
      </w:r>
      <w:r>
        <w:rPr>
          <w:rFonts w:hint="eastAsia" w:ascii="宋体" w:hAnsi="宋体"/>
          <w:kern w:val="0"/>
          <w:sz w:val="24"/>
        </w:rPr>
        <w:t>166</w:t>
      </w:r>
      <w:r>
        <w:rPr>
          <w:rFonts w:hint="eastAsia" w:ascii="宋体" w:hAnsi="宋体"/>
          <w:kern w:val="0"/>
          <w:sz w:val="24"/>
          <w:lang w:val="zh-CN"/>
        </w:rPr>
        <w:t>号）</w:t>
      </w:r>
      <w:r>
        <w:rPr>
          <w:rFonts w:ascii="宋体" w:hAnsi="宋体"/>
          <w:kern w:val="0"/>
          <w:sz w:val="24"/>
          <w:lang w:val="zh-CN"/>
        </w:rPr>
        <w:t>，</w:t>
      </w:r>
      <w:r>
        <w:rPr>
          <w:rFonts w:hint="eastAsia" w:ascii="宋体" w:hAnsi="宋体"/>
          <w:kern w:val="0"/>
          <w:sz w:val="24"/>
          <w:lang w:val="zh-CN"/>
        </w:rPr>
        <w:t>计划</w:t>
      </w:r>
      <w:r>
        <w:rPr>
          <w:rFonts w:ascii="宋体" w:hAnsi="宋体"/>
          <w:kern w:val="0"/>
          <w:sz w:val="24"/>
          <w:lang w:val="zh-CN"/>
        </w:rPr>
        <w:t>编号</w:t>
      </w:r>
      <w:r>
        <w:rPr>
          <w:rFonts w:ascii="宋体" w:hAnsi="宋体"/>
          <w:kern w:val="0"/>
          <w:sz w:val="24"/>
        </w:rPr>
        <w:t>为HTB2025065，</w:t>
      </w:r>
      <w:r>
        <w:rPr>
          <w:rFonts w:hint="eastAsia" w:ascii="宋体" w:hAnsi="宋体"/>
          <w:kern w:val="0"/>
          <w:sz w:val="24"/>
        </w:rPr>
        <w:t>标准计划名称为《</w:t>
      </w:r>
      <w:r>
        <w:rPr>
          <w:rFonts w:hint="eastAsia" w:ascii="宋体" w:hAnsi="宋体"/>
          <w:kern w:val="0"/>
          <w:sz w:val="24"/>
          <w:lang w:val="zh-CN"/>
        </w:rPr>
        <w:t>高温气冷堆核动力厂堆内构件安装及验收技术规程》</w:t>
      </w:r>
      <w:r>
        <w:rPr>
          <w:rFonts w:hint="eastAsia" w:ascii="宋体" w:hAnsi="宋体"/>
          <w:kern w:val="0"/>
          <w:sz w:val="24"/>
        </w:rPr>
        <w:t>，</w:t>
      </w:r>
      <w:r>
        <w:rPr>
          <w:rFonts w:ascii="宋体" w:hAnsi="宋体"/>
          <w:kern w:val="0"/>
          <w:sz w:val="24"/>
        </w:rPr>
        <w:t>由</w:t>
      </w:r>
      <w:r>
        <w:rPr>
          <w:rFonts w:hint="eastAsia" w:ascii="宋体" w:hAnsi="宋体"/>
          <w:kern w:val="0"/>
          <w:sz w:val="24"/>
        </w:rPr>
        <w:t>中国核工业二三建设有限公司、中核能源科技有限公司、中核山东核能有限公司、中国核电工程有限公司起草</w:t>
      </w:r>
      <w:r>
        <w:rPr>
          <w:rFonts w:ascii="宋体" w:hAnsi="宋体"/>
          <w:kern w:val="0"/>
          <w:sz w:val="24"/>
        </w:rPr>
        <w:t>，</w:t>
      </w:r>
      <w:r>
        <w:rPr>
          <w:rFonts w:hint="eastAsia" w:ascii="宋体" w:hAnsi="宋体"/>
          <w:kern w:val="0"/>
          <w:sz w:val="24"/>
        </w:rPr>
        <w:t>要求</w:t>
      </w:r>
      <w:r>
        <w:rPr>
          <w:rFonts w:ascii="宋体" w:hAnsi="宋体"/>
          <w:kern w:val="0"/>
          <w:sz w:val="24"/>
        </w:rPr>
        <w:t>于20</w:t>
      </w:r>
      <w:r>
        <w:rPr>
          <w:rFonts w:hint="eastAsia" w:ascii="宋体" w:hAnsi="宋体"/>
          <w:kern w:val="0"/>
          <w:sz w:val="24"/>
        </w:rPr>
        <w:t>26</w:t>
      </w:r>
      <w:r>
        <w:rPr>
          <w:rFonts w:ascii="宋体" w:hAnsi="宋体"/>
          <w:kern w:val="0"/>
          <w:sz w:val="24"/>
        </w:rPr>
        <w:t>年</w:t>
      </w:r>
      <w:r>
        <w:rPr>
          <w:rFonts w:hint="eastAsia" w:ascii="宋体" w:hAnsi="宋体"/>
          <w:kern w:val="0"/>
          <w:sz w:val="24"/>
          <w:lang w:val="en-US" w:eastAsia="zh-CN"/>
        </w:rPr>
        <w:t>12</w:t>
      </w:r>
      <w:r>
        <w:rPr>
          <w:rFonts w:ascii="宋体" w:hAnsi="宋体"/>
          <w:kern w:val="0"/>
          <w:sz w:val="24"/>
        </w:rPr>
        <w:t>月完成</w:t>
      </w:r>
      <w:r>
        <w:rPr>
          <w:rFonts w:hint="eastAsia" w:ascii="宋体" w:hAnsi="宋体"/>
          <w:kern w:val="0"/>
          <w:sz w:val="24"/>
        </w:rPr>
        <w:t>本项目</w:t>
      </w:r>
      <w:r>
        <w:rPr>
          <w:rFonts w:ascii="宋体" w:hAnsi="宋体"/>
          <w:kern w:val="0"/>
          <w:sz w:val="24"/>
        </w:rPr>
        <w:t>。</w:t>
      </w:r>
    </w:p>
    <w:p w14:paraId="419FF928">
      <w:pPr>
        <w:numPr>
          <w:ilvl w:val="0"/>
          <w:numId w:val="1"/>
        </w:numPr>
        <w:spacing w:before="240" w:after="240" w:line="360" w:lineRule="auto"/>
        <w:rPr>
          <w:rFonts w:eastAsia="黑体"/>
          <w:sz w:val="28"/>
          <w:szCs w:val="28"/>
        </w:rPr>
      </w:pPr>
      <w:r>
        <w:rPr>
          <w:rFonts w:hint="eastAsia" w:eastAsia="黑体"/>
          <w:sz w:val="28"/>
          <w:szCs w:val="28"/>
        </w:rPr>
        <w:t>标准编制组组成</w:t>
      </w:r>
    </w:p>
    <w:p w14:paraId="768EBE23">
      <w:pPr>
        <w:spacing w:line="360" w:lineRule="auto"/>
        <w:ind w:firstLine="480" w:firstLineChars="200"/>
        <w:rPr>
          <w:rFonts w:hint="eastAsia" w:ascii="宋体" w:hAnsi="宋体"/>
          <w:kern w:val="0"/>
          <w:sz w:val="24"/>
          <w:lang w:val="zh-CN"/>
        </w:rPr>
      </w:pPr>
      <w:r>
        <w:rPr>
          <w:rFonts w:hint="eastAsia" w:ascii="宋体" w:hAnsi="宋体"/>
          <w:kern w:val="0"/>
          <w:sz w:val="24"/>
          <w:lang w:val="zh-CN"/>
        </w:rPr>
        <w:t>本标准起草工作组成员及任务分工见表1。</w:t>
      </w:r>
    </w:p>
    <w:p w14:paraId="256D9540">
      <w:pPr>
        <w:spacing w:line="360" w:lineRule="auto"/>
        <w:ind w:firstLine="480" w:firstLineChars="200"/>
        <w:jc w:val="center"/>
        <w:rPr>
          <w:rFonts w:hint="eastAsia" w:ascii="宋体" w:hAnsi="宋体"/>
          <w:sz w:val="24"/>
        </w:rPr>
      </w:pPr>
      <w:r>
        <w:rPr>
          <w:rFonts w:hint="eastAsia" w:ascii="宋体" w:hAnsi="宋体"/>
          <w:sz w:val="24"/>
        </w:rPr>
        <w:t xml:space="preserve">表1 </w:t>
      </w:r>
      <w:r>
        <w:rPr>
          <w:rFonts w:ascii="宋体" w:hAnsi="宋体"/>
          <w:sz w:val="24"/>
        </w:rPr>
        <w:t xml:space="preserve"> </w:t>
      </w:r>
      <w:r>
        <w:rPr>
          <w:rFonts w:hint="eastAsia" w:ascii="宋体" w:hAnsi="宋体"/>
          <w:kern w:val="0"/>
          <w:sz w:val="24"/>
          <w:lang w:val="zh-CN"/>
        </w:rPr>
        <w:t>起草工作</w:t>
      </w:r>
      <w:r>
        <w:rPr>
          <w:rFonts w:hint="eastAsia" w:ascii="宋体" w:hAnsi="宋体"/>
          <w:sz w:val="24"/>
        </w:rPr>
        <w:t>组成员及</w:t>
      </w:r>
      <w:r>
        <w:rPr>
          <w:rFonts w:hint="eastAsia" w:ascii="宋体" w:hAnsi="宋体"/>
          <w:kern w:val="0"/>
          <w:sz w:val="24"/>
          <w:lang w:val="zh-CN"/>
        </w:rPr>
        <w:t>任务</w:t>
      </w:r>
      <w:r>
        <w:rPr>
          <w:rFonts w:hint="eastAsia" w:ascii="宋体" w:hAnsi="宋体"/>
          <w:sz w:val="24"/>
        </w:rPr>
        <w:t>分工</w:t>
      </w:r>
    </w:p>
    <w:tbl>
      <w:tblPr>
        <w:tblStyle w:val="1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1134"/>
        <w:gridCol w:w="2977"/>
        <w:gridCol w:w="1843"/>
        <w:gridCol w:w="1751"/>
      </w:tblGrid>
      <w:tr w14:paraId="26537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14:paraId="57435D04">
            <w:pPr>
              <w:spacing w:line="360" w:lineRule="auto"/>
              <w:jc w:val="center"/>
              <w:rPr>
                <w:rFonts w:hint="eastAsia" w:asciiTheme="minorEastAsia" w:hAnsiTheme="minorEastAsia"/>
                <w:szCs w:val="21"/>
              </w:rPr>
            </w:pPr>
            <w:r>
              <w:rPr>
                <w:rFonts w:hint="eastAsia" w:asciiTheme="minorEastAsia" w:hAnsiTheme="minorEastAsia"/>
                <w:szCs w:val="21"/>
              </w:rPr>
              <w:t>序号</w:t>
            </w:r>
          </w:p>
        </w:tc>
        <w:tc>
          <w:tcPr>
            <w:tcW w:w="1134" w:type="dxa"/>
          </w:tcPr>
          <w:p w14:paraId="67DB6774">
            <w:pPr>
              <w:spacing w:line="360" w:lineRule="auto"/>
              <w:jc w:val="center"/>
              <w:rPr>
                <w:rFonts w:hint="eastAsia" w:asciiTheme="minorEastAsia" w:hAnsiTheme="minorEastAsia"/>
                <w:szCs w:val="21"/>
              </w:rPr>
            </w:pPr>
            <w:r>
              <w:rPr>
                <w:rFonts w:hint="eastAsia" w:asciiTheme="minorEastAsia" w:hAnsiTheme="minorEastAsia"/>
                <w:szCs w:val="21"/>
              </w:rPr>
              <w:t>姓名</w:t>
            </w:r>
          </w:p>
        </w:tc>
        <w:tc>
          <w:tcPr>
            <w:tcW w:w="2977" w:type="dxa"/>
          </w:tcPr>
          <w:p w14:paraId="1E24855A">
            <w:pPr>
              <w:spacing w:line="360" w:lineRule="auto"/>
              <w:jc w:val="center"/>
              <w:rPr>
                <w:rFonts w:hint="eastAsia" w:asciiTheme="minorEastAsia" w:hAnsiTheme="minorEastAsia"/>
                <w:szCs w:val="21"/>
              </w:rPr>
            </w:pPr>
            <w:r>
              <w:rPr>
                <w:rFonts w:hint="eastAsia" w:asciiTheme="minorEastAsia" w:hAnsiTheme="minorEastAsia"/>
                <w:szCs w:val="21"/>
              </w:rPr>
              <w:t>单位</w:t>
            </w:r>
          </w:p>
        </w:tc>
        <w:tc>
          <w:tcPr>
            <w:tcW w:w="1843" w:type="dxa"/>
          </w:tcPr>
          <w:p w14:paraId="5934D40D">
            <w:pPr>
              <w:spacing w:line="360" w:lineRule="auto"/>
              <w:jc w:val="center"/>
              <w:rPr>
                <w:rFonts w:hint="eastAsia" w:asciiTheme="minorEastAsia" w:hAnsiTheme="minorEastAsia"/>
                <w:szCs w:val="21"/>
              </w:rPr>
            </w:pPr>
            <w:r>
              <w:rPr>
                <w:rFonts w:hint="eastAsia" w:asciiTheme="minorEastAsia" w:hAnsiTheme="minorEastAsia"/>
                <w:szCs w:val="21"/>
              </w:rPr>
              <w:t>职务/职称</w:t>
            </w:r>
          </w:p>
        </w:tc>
        <w:tc>
          <w:tcPr>
            <w:tcW w:w="1751" w:type="dxa"/>
          </w:tcPr>
          <w:p w14:paraId="45C3EC0E">
            <w:pPr>
              <w:spacing w:line="360" w:lineRule="auto"/>
              <w:jc w:val="center"/>
              <w:rPr>
                <w:rFonts w:hint="eastAsia" w:asciiTheme="minorEastAsia" w:hAnsiTheme="minorEastAsia"/>
                <w:szCs w:val="21"/>
              </w:rPr>
            </w:pPr>
            <w:r>
              <w:rPr>
                <w:rFonts w:hint="eastAsia" w:asciiTheme="minorEastAsia" w:hAnsiTheme="minorEastAsia"/>
                <w:szCs w:val="21"/>
              </w:rPr>
              <w:t>任务</w:t>
            </w:r>
          </w:p>
        </w:tc>
      </w:tr>
      <w:tr w14:paraId="3A278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3A8F9028">
            <w:pPr>
              <w:spacing w:line="360" w:lineRule="auto"/>
              <w:jc w:val="center"/>
              <w:rPr>
                <w:rFonts w:hint="eastAsia" w:asciiTheme="minorEastAsia" w:hAnsiTheme="minorEastAsia"/>
                <w:szCs w:val="21"/>
              </w:rPr>
            </w:pPr>
            <w:r>
              <w:rPr>
                <w:rFonts w:hint="eastAsia" w:asciiTheme="minorEastAsia" w:hAnsiTheme="minorEastAsia"/>
              </w:rPr>
              <w:t>1</w:t>
            </w:r>
          </w:p>
        </w:tc>
        <w:tc>
          <w:tcPr>
            <w:tcW w:w="1134" w:type="dxa"/>
            <w:vAlign w:val="center"/>
          </w:tcPr>
          <w:p w14:paraId="1EF73D3C">
            <w:pPr>
              <w:spacing w:line="360" w:lineRule="auto"/>
              <w:jc w:val="center"/>
              <w:rPr>
                <w:rFonts w:hint="eastAsia" w:asciiTheme="minorEastAsia" w:hAnsiTheme="minorEastAsia"/>
                <w:szCs w:val="21"/>
              </w:rPr>
            </w:pPr>
            <w:r>
              <w:rPr>
                <w:rFonts w:hint="eastAsia" w:asciiTheme="minorEastAsia" w:hAnsiTheme="minorEastAsia"/>
              </w:rPr>
              <w:t>张大勇</w:t>
            </w:r>
          </w:p>
        </w:tc>
        <w:tc>
          <w:tcPr>
            <w:tcW w:w="2977" w:type="dxa"/>
            <w:vAlign w:val="center"/>
          </w:tcPr>
          <w:p w14:paraId="4B013CC0">
            <w:pPr>
              <w:spacing w:line="360" w:lineRule="auto"/>
              <w:jc w:val="center"/>
              <w:rPr>
                <w:rFonts w:hint="eastAsia" w:asciiTheme="minorEastAsia" w:hAnsiTheme="minorEastAsia"/>
                <w:szCs w:val="21"/>
              </w:rPr>
            </w:pPr>
            <w:r>
              <w:rPr>
                <w:rFonts w:hint="eastAsia" w:asciiTheme="minorEastAsia" w:hAnsiTheme="minorEastAsia"/>
              </w:rPr>
              <w:t>中国核工业二三建设有限公司</w:t>
            </w:r>
          </w:p>
        </w:tc>
        <w:tc>
          <w:tcPr>
            <w:tcW w:w="1843" w:type="dxa"/>
            <w:vAlign w:val="center"/>
          </w:tcPr>
          <w:p w14:paraId="31836779">
            <w:pPr>
              <w:spacing w:line="360" w:lineRule="auto"/>
              <w:jc w:val="center"/>
              <w:rPr>
                <w:rFonts w:hint="eastAsia" w:asciiTheme="minorEastAsia" w:hAnsiTheme="minorEastAsia"/>
                <w:szCs w:val="21"/>
              </w:rPr>
            </w:pPr>
            <w:r>
              <w:rPr>
                <w:rFonts w:hint="eastAsia" w:asciiTheme="minorEastAsia" w:hAnsiTheme="minorEastAsia"/>
              </w:rPr>
              <w:t>高级工程师</w:t>
            </w:r>
          </w:p>
        </w:tc>
        <w:tc>
          <w:tcPr>
            <w:tcW w:w="1751" w:type="dxa"/>
            <w:vAlign w:val="center"/>
          </w:tcPr>
          <w:p w14:paraId="4ADB2E21">
            <w:pPr>
              <w:spacing w:line="360" w:lineRule="auto"/>
              <w:jc w:val="center"/>
              <w:rPr>
                <w:rFonts w:hint="eastAsia" w:asciiTheme="minorEastAsia" w:hAnsiTheme="minorEastAsia"/>
                <w:szCs w:val="21"/>
              </w:rPr>
            </w:pPr>
            <w:r>
              <w:rPr>
                <w:rFonts w:hint="eastAsia" w:asciiTheme="minorEastAsia" w:hAnsiTheme="minorEastAsia"/>
              </w:rPr>
              <w:t>校核</w:t>
            </w:r>
            <w:r>
              <w:rPr>
                <w:rFonts w:asciiTheme="minorEastAsia" w:hAnsiTheme="minorEastAsia"/>
              </w:rPr>
              <w:t>全文</w:t>
            </w:r>
          </w:p>
        </w:tc>
      </w:tr>
      <w:tr w14:paraId="3E116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2B423FA8">
            <w:pPr>
              <w:spacing w:line="360" w:lineRule="auto"/>
              <w:jc w:val="center"/>
              <w:rPr>
                <w:rFonts w:hint="eastAsia" w:asciiTheme="minorEastAsia" w:hAnsiTheme="minorEastAsia"/>
                <w:szCs w:val="21"/>
              </w:rPr>
            </w:pPr>
            <w:r>
              <w:rPr>
                <w:rFonts w:hint="eastAsia" w:asciiTheme="minorEastAsia" w:hAnsiTheme="minorEastAsia"/>
              </w:rPr>
              <w:t>2</w:t>
            </w:r>
          </w:p>
        </w:tc>
        <w:tc>
          <w:tcPr>
            <w:tcW w:w="1134" w:type="dxa"/>
            <w:vAlign w:val="center"/>
          </w:tcPr>
          <w:p w14:paraId="0D9AFBD7">
            <w:pPr>
              <w:jc w:val="center"/>
              <w:rPr>
                <w:rFonts w:hint="eastAsia" w:asciiTheme="minorEastAsia" w:hAnsiTheme="minorEastAsia"/>
                <w:szCs w:val="21"/>
              </w:rPr>
            </w:pPr>
            <w:r>
              <w:rPr>
                <w:rFonts w:hint="eastAsia" w:asciiTheme="minorEastAsia" w:hAnsiTheme="minorEastAsia"/>
              </w:rPr>
              <w:t>孙朝朋</w:t>
            </w:r>
          </w:p>
        </w:tc>
        <w:tc>
          <w:tcPr>
            <w:tcW w:w="2977" w:type="dxa"/>
            <w:vAlign w:val="center"/>
          </w:tcPr>
          <w:p w14:paraId="5EFB73F9">
            <w:pPr>
              <w:jc w:val="center"/>
              <w:rPr>
                <w:rFonts w:hint="eastAsia" w:asciiTheme="minorEastAsia" w:hAnsiTheme="minorEastAsia"/>
                <w:szCs w:val="21"/>
              </w:rPr>
            </w:pPr>
            <w:r>
              <w:rPr>
                <w:rFonts w:hint="eastAsia" w:asciiTheme="minorEastAsia" w:hAnsiTheme="minorEastAsia"/>
              </w:rPr>
              <w:t>中国核工业二三建设有限公司</w:t>
            </w:r>
          </w:p>
        </w:tc>
        <w:tc>
          <w:tcPr>
            <w:tcW w:w="1843" w:type="dxa"/>
            <w:vAlign w:val="center"/>
          </w:tcPr>
          <w:p w14:paraId="2C52E4C1">
            <w:pPr>
              <w:jc w:val="center"/>
              <w:rPr>
                <w:rFonts w:hint="eastAsia" w:asciiTheme="minorEastAsia" w:hAnsiTheme="minorEastAsia"/>
                <w:szCs w:val="21"/>
              </w:rPr>
            </w:pPr>
            <w:r>
              <w:rPr>
                <w:rFonts w:hint="eastAsia" w:asciiTheme="minorEastAsia" w:hAnsiTheme="minorEastAsia"/>
              </w:rPr>
              <w:t>研究员级高级工程师</w:t>
            </w:r>
          </w:p>
        </w:tc>
        <w:tc>
          <w:tcPr>
            <w:tcW w:w="1751" w:type="dxa"/>
            <w:vAlign w:val="center"/>
          </w:tcPr>
          <w:p w14:paraId="4E309C04">
            <w:pPr>
              <w:jc w:val="center"/>
              <w:rPr>
                <w:rFonts w:hint="eastAsia" w:asciiTheme="minorEastAsia" w:hAnsiTheme="minorEastAsia"/>
                <w:szCs w:val="21"/>
              </w:rPr>
            </w:pPr>
            <w:r>
              <w:rPr>
                <w:rFonts w:hint="eastAsia" w:asciiTheme="minorEastAsia" w:hAnsiTheme="minorEastAsia"/>
              </w:rPr>
              <w:t>编制全文</w:t>
            </w:r>
          </w:p>
        </w:tc>
      </w:tr>
      <w:tr w14:paraId="4CB63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3B66BF3C">
            <w:pPr>
              <w:spacing w:line="360" w:lineRule="auto"/>
              <w:jc w:val="center"/>
              <w:rPr>
                <w:rFonts w:hint="eastAsia" w:asciiTheme="minorEastAsia" w:hAnsiTheme="minorEastAsia"/>
                <w:szCs w:val="21"/>
              </w:rPr>
            </w:pPr>
            <w:r>
              <w:rPr>
                <w:rFonts w:hint="eastAsia" w:asciiTheme="minorEastAsia" w:hAnsiTheme="minorEastAsia"/>
              </w:rPr>
              <w:t>3</w:t>
            </w:r>
          </w:p>
        </w:tc>
        <w:tc>
          <w:tcPr>
            <w:tcW w:w="1134" w:type="dxa"/>
            <w:vAlign w:val="center"/>
          </w:tcPr>
          <w:p w14:paraId="13279C9A">
            <w:pPr>
              <w:jc w:val="center"/>
              <w:rPr>
                <w:rFonts w:hint="eastAsia" w:asciiTheme="minorEastAsia" w:hAnsiTheme="minorEastAsia"/>
                <w:szCs w:val="21"/>
              </w:rPr>
            </w:pPr>
            <w:r>
              <w:rPr>
                <w:rFonts w:hint="eastAsia" w:asciiTheme="minorEastAsia" w:hAnsiTheme="minorEastAsia"/>
              </w:rPr>
              <w:t>范  凯</w:t>
            </w:r>
          </w:p>
        </w:tc>
        <w:tc>
          <w:tcPr>
            <w:tcW w:w="2977" w:type="dxa"/>
            <w:vAlign w:val="center"/>
          </w:tcPr>
          <w:p w14:paraId="213D8EEA">
            <w:pPr>
              <w:jc w:val="center"/>
              <w:rPr>
                <w:rFonts w:hint="eastAsia" w:asciiTheme="minorEastAsia" w:hAnsiTheme="minorEastAsia"/>
                <w:szCs w:val="21"/>
              </w:rPr>
            </w:pPr>
            <w:r>
              <w:rPr>
                <w:rFonts w:hint="eastAsia" w:asciiTheme="minorEastAsia" w:hAnsiTheme="minorEastAsia"/>
              </w:rPr>
              <w:t>中国核工业二三建设有限公司</w:t>
            </w:r>
          </w:p>
        </w:tc>
        <w:tc>
          <w:tcPr>
            <w:tcW w:w="1843" w:type="dxa"/>
            <w:vAlign w:val="center"/>
          </w:tcPr>
          <w:p w14:paraId="59DCF5BC">
            <w:pPr>
              <w:jc w:val="center"/>
              <w:rPr>
                <w:rFonts w:hint="eastAsia" w:asciiTheme="minorEastAsia" w:hAnsiTheme="minorEastAsia"/>
                <w:szCs w:val="21"/>
              </w:rPr>
            </w:pPr>
            <w:r>
              <w:rPr>
                <w:rFonts w:hint="eastAsia" w:asciiTheme="minorEastAsia" w:hAnsiTheme="minorEastAsia"/>
              </w:rPr>
              <w:t>研究员级高级工程师</w:t>
            </w:r>
          </w:p>
        </w:tc>
        <w:tc>
          <w:tcPr>
            <w:tcW w:w="1751" w:type="dxa"/>
            <w:vAlign w:val="center"/>
          </w:tcPr>
          <w:p w14:paraId="1133CB5D">
            <w:pPr>
              <w:jc w:val="center"/>
              <w:rPr>
                <w:rFonts w:hint="eastAsia" w:asciiTheme="minorEastAsia" w:hAnsiTheme="minorEastAsia"/>
                <w:szCs w:val="21"/>
              </w:rPr>
            </w:pPr>
            <w:r>
              <w:rPr>
                <w:rFonts w:hint="eastAsia" w:asciiTheme="minorEastAsia" w:hAnsiTheme="minorEastAsia"/>
              </w:rPr>
              <w:t>审定全文</w:t>
            </w:r>
          </w:p>
        </w:tc>
      </w:tr>
      <w:tr w14:paraId="632CB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64393805">
            <w:pPr>
              <w:spacing w:line="360" w:lineRule="auto"/>
              <w:jc w:val="center"/>
              <w:rPr>
                <w:rFonts w:hint="eastAsia" w:asciiTheme="minorEastAsia" w:hAnsiTheme="minorEastAsia"/>
                <w:szCs w:val="21"/>
              </w:rPr>
            </w:pPr>
            <w:r>
              <w:rPr>
                <w:rFonts w:hint="eastAsia" w:asciiTheme="minorEastAsia" w:hAnsiTheme="minorEastAsia"/>
              </w:rPr>
              <w:t>4</w:t>
            </w:r>
          </w:p>
        </w:tc>
        <w:tc>
          <w:tcPr>
            <w:tcW w:w="1134" w:type="dxa"/>
            <w:vAlign w:val="center"/>
          </w:tcPr>
          <w:p w14:paraId="1F507696">
            <w:pPr>
              <w:spacing w:line="360" w:lineRule="auto"/>
              <w:jc w:val="center"/>
              <w:rPr>
                <w:rFonts w:hint="eastAsia" w:asciiTheme="minorEastAsia" w:hAnsiTheme="minorEastAsia"/>
                <w:szCs w:val="21"/>
              </w:rPr>
            </w:pPr>
            <w:r>
              <w:rPr>
                <w:rFonts w:hint="eastAsia" w:asciiTheme="minorEastAsia" w:hAnsiTheme="minorEastAsia"/>
              </w:rPr>
              <w:t>李  旺</w:t>
            </w:r>
          </w:p>
        </w:tc>
        <w:tc>
          <w:tcPr>
            <w:tcW w:w="2977" w:type="dxa"/>
            <w:vAlign w:val="center"/>
          </w:tcPr>
          <w:p w14:paraId="36388F14">
            <w:pPr>
              <w:spacing w:line="360" w:lineRule="auto"/>
              <w:jc w:val="center"/>
              <w:rPr>
                <w:rFonts w:hint="eastAsia" w:asciiTheme="minorEastAsia" w:hAnsiTheme="minorEastAsia"/>
                <w:szCs w:val="21"/>
              </w:rPr>
            </w:pPr>
            <w:r>
              <w:rPr>
                <w:rFonts w:hint="eastAsia" w:asciiTheme="minorEastAsia" w:hAnsiTheme="minorEastAsia"/>
              </w:rPr>
              <w:t>中国核工业二三建设有限公司</w:t>
            </w:r>
          </w:p>
        </w:tc>
        <w:tc>
          <w:tcPr>
            <w:tcW w:w="1843" w:type="dxa"/>
          </w:tcPr>
          <w:p w14:paraId="0E26E29D">
            <w:pPr>
              <w:spacing w:line="360" w:lineRule="auto"/>
              <w:jc w:val="center"/>
              <w:rPr>
                <w:rFonts w:hint="eastAsia" w:asciiTheme="minorEastAsia" w:hAnsiTheme="minorEastAsia"/>
                <w:szCs w:val="21"/>
              </w:rPr>
            </w:pPr>
            <w:r>
              <w:rPr>
                <w:rFonts w:hint="eastAsia" w:asciiTheme="minorEastAsia" w:hAnsiTheme="minorEastAsia"/>
              </w:rPr>
              <w:t>高级工程师</w:t>
            </w:r>
          </w:p>
        </w:tc>
        <w:tc>
          <w:tcPr>
            <w:tcW w:w="1751" w:type="dxa"/>
            <w:vAlign w:val="center"/>
          </w:tcPr>
          <w:p w14:paraId="00D4BE1F">
            <w:pPr>
              <w:spacing w:line="360" w:lineRule="auto"/>
              <w:jc w:val="center"/>
              <w:rPr>
                <w:rFonts w:hint="eastAsia" w:asciiTheme="minorEastAsia" w:hAnsiTheme="minorEastAsia"/>
                <w:szCs w:val="21"/>
              </w:rPr>
            </w:pPr>
            <w:r>
              <w:rPr>
                <w:rFonts w:asciiTheme="minorEastAsia" w:hAnsiTheme="minorEastAsia"/>
              </w:rPr>
              <w:t>参与编制</w:t>
            </w:r>
          </w:p>
        </w:tc>
      </w:tr>
      <w:tr w14:paraId="358AB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082F319F">
            <w:pPr>
              <w:spacing w:line="360" w:lineRule="auto"/>
              <w:jc w:val="center"/>
              <w:rPr>
                <w:rFonts w:hint="eastAsia" w:asciiTheme="minorEastAsia" w:hAnsiTheme="minorEastAsia"/>
                <w:szCs w:val="21"/>
              </w:rPr>
            </w:pPr>
            <w:r>
              <w:rPr>
                <w:rFonts w:hint="eastAsia" w:asciiTheme="minorEastAsia" w:hAnsiTheme="minorEastAsia"/>
              </w:rPr>
              <w:t>5</w:t>
            </w:r>
          </w:p>
        </w:tc>
        <w:tc>
          <w:tcPr>
            <w:tcW w:w="1134" w:type="dxa"/>
            <w:vAlign w:val="center"/>
          </w:tcPr>
          <w:p w14:paraId="44CA515A">
            <w:pPr>
              <w:spacing w:line="360" w:lineRule="auto"/>
              <w:jc w:val="center"/>
              <w:rPr>
                <w:rFonts w:hint="eastAsia" w:asciiTheme="minorEastAsia" w:hAnsiTheme="minorEastAsia"/>
                <w:szCs w:val="21"/>
              </w:rPr>
            </w:pPr>
            <w:r>
              <w:rPr>
                <w:rFonts w:hint="eastAsia" w:asciiTheme="minorEastAsia" w:hAnsiTheme="minorEastAsia"/>
              </w:rPr>
              <w:t>施发永</w:t>
            </w:r>
          </w:p>
        </w:tc>
        <w:tc>
          <w:tcPr>
            <w:tcW w:w="2977" w:type="dxa"/>
            <w:vAlign w:val="center"/>
          </w:tcPr>
          <w:p w14:paraId="39CD06DC">
            <w:pPr>
              <w:spacing w:line="360" w:lineRule="auto"/>
              <w:jc w:val="center"/>
              <w:rPr>
                <w:rFonts w:hint="eastAsia" w:asciiTheme="minorEastAsia" w:hAnsiTheme="minorEastAsia"/>
                <w:szCs w:val="21"/>
              </w:rPr>
            </w:pPr>
            <w:r>
              <w:rPr>
                <w:rFonts w:hint="eastAsia" w:asciiTheme="minorEastAsia" w:hAnsiTheme="minorEastAsia"/>
              </w:rPr>
              <w:t>中国核工业二三建设有限公司</w:t>
            </w:r>
          </w:p>
        </w:tc>
        <w:tc>
          <w:tcPr>
            <w:tcW w:w="1843" w:type="dxa"/>
          </w:tcPr>
          <w:p w14:paraId="1FE10960">
            <w:pPr>
              <w:spacing w:line="360" w:lineRule="auto"/>
              <w:jc w:val="center"/>
              <w:rPr>
                <w:rFonts w:hint="eastAsia" w:asciiTheme="minorEastAsia" w:hAnsiTheme="minorEastAsia"/>
                <w:szCs w:val="21"/>
              </w:rPr>
            </w:pPr>
            <w:r>
              <w:rPr>
                <w:rFonts w:hint="eastAsia" w:asciiTheme="minorEastAsia" w:hAnsiTheme="minorEastAsia"/>
              </w:rPr>
              <w:t>高级工程师</w:t>
            </w:r>
          </w:p>
        </w:tc>
        <w:tc>
          <w:tcPr>
            <w:tcW w:w="1751" w:type="dxa"/>
            <w:vAlign w:val="center"/>
          </w:tcPr>
          <w:p w14:paraId="25AA58FE">
            <w:pPr>
              <w:spacing w:line="360" w:lineRule="auto"/>
              <w:jc w:val="center"/>
              <w:rPr>
                <w:rFonts w:hint="eastAsia" w:asciiTheme="minorEastAsia" w:hAnsiTheme="minorEastAsia"/>
                <w:szCs w:val="21"/>
              </w:rPr>
            </w:pPr>
            <w:r>
              <w:rPr>
                <w:rFonts w:hint="eastAsia" w:asciiTheme="minorEastAsia" w:hAnsiTheme="minorEastAsia"/>
              </w:rPr>
              <w:t>参与审核</w:t>
            </w:r>
          </w:p>
        </w:tc>
      </w:tr>
      <w:tr w14:paraId="57E47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2500F1CA">
            <w:pPr>
              <w:spacing w:line="360" w:lineRule="auto"/>
              <w:jc w:val="center"/>
              <w:rPr>
                <w:rFonts w:hint="eastAsia" w:asciiTheme="minorEastAsia" w:hAnsiTheme="minorEastAsia"/>
                <w:szCs w:val="21"/>
              </w:rPr>
            </w:pPr>
            <w:r>
              <w:rPr>
                <w:rFonts w:hint="eastAsia" w:asciiTheme="minorEastAsia" w:hAnsiTheme="minorEastAsia"/>
              </w:rPr>
              <w:t>6</w:t>
            </w:r>
          </w:p>
        </w:tc>
        <w:tc>
          <w:tcPr>
            <w:tcW w:w="1134" w:type="dxa"/>
            <w:vAlign w:val="center"/>
          </w:tcPr>
          <w:p w14:paraId="304890F3">
            <w:pPr>
              <w:spacing w:line="360" w:lineRule="auto"/>
              <w:jc w:val="center"/>
              <w:rPr>
                <w:rFonts w:hint="eastAsia" w:asciiTheme="minorEastAsia" w:hAnsiTheme="minorEastAsia"/>
                <w:szCs w:val="21"/>
              </w:rPr>
            </w:pPr>
            <w:r>
              <w:rPr>
                <w:rFonts w:hint="eastAsia" w:asciiTheme="minorEastAsia" w:hAnsiTheme="minorEastAsia"/>
              </w:rPr>
              <w:t>张志强</w:t>
            </w:r>
          </w:p>
        </w:tc>
        <w:tc>
          <w:tcPr>
            <w:tcW w:w="2977" w:type="dxa"/>
            <w:vAlign w:val="center"/>
          </w:tcPr>
          <w:p w14:paraId="6AED8774">
            <w:pPr>
              <w:spacing w:line="360" w:lineRule="auto"/>
              <w:jc w:val="center"/>
              <w:rPr>
                <w:rFonts w:hint="eastAsia" w:asciiTheme="minorEastAsia" w:hAnsiTheme="minorEastAsia"/>
                <w:szCs w:val="21"/>
              </w:rPr>
            </w:pPr>
            <w:r>
              <w:rPr>
                <w:rFonts w:hint="eastAsia" w:asciiTheme="minorEastAsia" w:hAnsiTheme="minorEastAsia"/>
              </w:rPr>
              <w:t>中国核工业二三建设有限公司</w:t>
            </w:r>
          </w:p>
        </w:tc>
        <w:tc>
          <w:tcPr>
            <w:tcW w:w="1843" w:type="dxa"/>
          </w:tcPr>
          <w:p w14:paraId="35724A6D">
            <w:pPr>
              <w:spacing w:line="360" w:lineRule="auto"/>
              <w:jc w:val="center"/>
              <w:rPr>
                <w:rFonts w:hint="eastAsia" w:asciiTheme="minorEastAsia" w:hAnsiTheme="minorEastAsia"/>
                <w:szCs w:val="21"/>
              </w:rPr>
            </w:pPr>
            <w:r>
              <w:rPr>
                <w:rFonts w:hint="eastAsia" w:asciiTheme="minorEastAsia" w:hAnsiTheme="minorEastAsia"/>
              </w:rPr>
              <w:t>高级工程师</w:t>
            </w:r>
          </w:p>
        </w:tc>
        <w:tc>
          <w:tcPr>
            <w:tcW w:w="1751" w:type="dxa"/>
            <w:vAlign w:val="center"/>
          </w:tcPr>
          <w:p w14:paraId="7C9E16FA">
            <w:pPr>
              <w:spacing w:line="360" w:lineRule="auto"/>
              <w:jc w:val="center"/>
              <w:rPr>
                <w:rFonts w:hint="eastAsia" w:asciiTheme="minorEastAsia" w:hAnsiTheme="minorEastAsia"/>
                <w:szCs w:val="21"/>
              </w:rPr>
            </w:pPr>
            <w:r>
              <w:rPr>
                <w:rFonts w:asciiTheme="minorEastAsia" w:hAnsiTheme="minorEastAsia"/>
              </w:rPr>
              <w:t>参与</w:t>
            </w:r>
            <w:r>
              <w:rPr>
                <w:rFonts w:hint="eastAsia" w:asciiTheme="minorEastAsia" w:hAnsiTheme="minorEastAsia"/>
              </w:rPr>
              <w:t>编制</w:t>
            </w:r>
          </w:p>
        </w:tc>
      </w:tr>
      <w:tr w14:paraId="45080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3B69C84F">
            <w:pPr>
              <w:spacing w:line="360" w:lineRule="auto"/>
              <w:jc w:val="center"/>
              <w:rPr>
                <w:rFonts w:hint="eastAsia" w:asciiTheme="minorEastAsia" w:hAnsiTheme="minorEastAsia"/>
                <w:szCs w:val="21"/>
              </w:rPr>
            </w:pPr>
            <w:r>
              <w:rPr>
                <w:rFonts w:hint="eastAsia" w:asciiTheme="minorEastAsia" w:hAnsiTheme="minorEastAsia"/>
              </w:rPr>
              <w:t>7</w:t>
            </w:r>
          </w:p>
        </w:tc>
        <w:tc>
          <w:tcPr>
            <w:tcW w:w="1134" w:type="dxa"/>
            <w:vAlign w:val="center"/>
          </w:tcPr>
          <w:p w14:paraId="643657A3">
            <w:pPr>
              <w:spacing w:line="360" w:lineRule="auto"/>
              <w:jc w:val="center"/>
              <w:rPr>
                <w:rFonts w:hint="eastAsia" w:asciiTheme="minorEastAsia" w:hAnsiTheme="minorEastAsia"/>
                <w:szCs w:val="21"/>
              </w:rPr>
            </w:pPr>
            <w:r>
              <w:rPr>
                <w:rFonts w:hint="eastAsia" w:asciiTheme="minorEastAsia" w:hAnsiTheme="minorEastAsia"/>
              </w:rPr>
              <w:t>王  瑞</w:t>
            </w:r>
          </w:p>
        </w:tc>
        <w:tc>
          <w:tcPr>
            <w:tcW w:w="2977" w:type="dxa"/>
            <w:vAlign w:val="center"/>
          </w:tcPr>
          <w:p w14:paraId="13CCF95C">
            <w:pPr>
              <w:spacing w:line="360" w:lineRule="auto"/>
              <w:jc w:val="center"/>
              <w:rPr>
                <w:rFonts w:hint="eastAsia" w:asciiTheme="minorEastAsia" w:hAnsiTheme="minorEastAsia"/>
                <w:szCs w:val="21"/>
              </w:rPr>
            </w:pPr>
            <w:r>
              <w:rPr>
                <w:rFonts w:hint="eastAsia" w:asciiTheme="minorEastAsia" w:hAnsiTheme="minorEastAsia"/>
              </w:rPr>
              <w:t>中国核工业二三建设有限公司</w:t>
            </w:r>
          </w:p>
        </w:tc>
        <w:tc>
          <w:tcPr>
            <w:tcW w:w="1843" w:type="dxa"/>
          </w:tcPr>
          <w:p w14:paraId="3986FC8A">
            <w:pPr>
              <w:spacing w:line="360" w:lineRule="auto"/>
              <w:jc w:val="center"/>
              <w:rPr>
                <w:rFonts w:hint="eastAsia" w:asciiTheme="minorEastAsia" w:hAnsiTheme="minorEastAsia"/>
                <w:szCs w:val="21"/>
              </w:rPr>
            </w:pPr>
            <w:r>
              <w:rPr>
                <w:rFonts w:hint="eastAsia" w:asciiTheme="minorEastAsia" w:hAnsiTheme="minorEastAsia"/>
              </w:rPr>
              <w:t>高级工程师</w:t>
            </w:r>
          </w:p>
        </w:tc>
        <w:tc>
          <w:tcPr>
            <w:tcW w:w="1751" w:type="dxa"/>
            <w:vAlign w:val="center"/>
          </w:tcPr>
          <w:p w14:paraId="0A9303DE">
            <w:pPr>
              <w:spacing w:line="360" w:lineRule="auto"/>
              <w:jc w:val="center"/>
              <w:rPr>
                <w:rFonts w:hint="eastAsia" w:asciiTheme="minorEastAsia" w:hAnsiTheme="minorEastAsia"/>
                <w:szCs w:val="21"/>
              </w:rPr>
            </w:pPr>
            <w:r>
              <w:rPr>
                <w:rFonts w:asciiTheme="minorEastAsia" w:hAnsiTheme="minorEastAsia"/>
              </w:rPr>
              <w:t>参与编制</w:t>
            </w:r>
          </w:p>
        </w:tc>
      </w:tr>
      <w:tr w14:paraId="0ADF6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6AE9B5B4">
            <w:pPr>
              <w:spacing w:line="360" w:lineRule="auto"/>
              <w:jc w:val="center"/>
              <w:rPr>
                <w:rFonts w:hint="eastAsia" w:asciiTheme="minorEastAsia" w:hAnsiTheme="minorEastAsia"/>
                <w:szCs w:val="21"/>
              </w:rPr>
            </w:pPr>
            <w:r>
              <w:rPr>
                <w:rFonts w:hint="eastAsia" w:asciiTheme="minorEastAsia" w:hAnsiTheme="minorEastAsia"/>
              </w:rPr>
              <w:t>8</w:t>
            </w:r>
          </w:p>
        </w:tc>
        <w:tc>
          <w:tcPr>
            <w:tcW w:w="1134" w:type="dxa"/>
            <w:vAlign w:val="center"/>
          </w:tcPr>
          <w:p w14:paraId="22ECA88A">
            <w:pPr>
              <w:spacing w:line="360" w:lineRule="auto"/>
              <w:jc w:val="center"/>
              <w:rPr>
                <w:rFonts w:hint="eastAsia" w:asciiTheme="minorEastAsia" w:hAnsiTheme="minorEastAsia"/>
                <w:szCs w:val="21"/>
              </w:rPr>
            </w:pPr>
            <w:r>
              <w:rPr>
                <w:rFonts w:hint="eastAsia" w:asciiTheme="minorEastAsia" w:hAnsiTheme="minorEastAsia"/>
              </w:rPr>
              <w:t>余德和</w:t>
            </w:r>
          </w:p>
        </w:tc>
        <w:tc>
          <w:tcPr>
            <w:tcW w:w="2977" w:type="dxa"/>
            <w:vAlign w:val="center"/>
          </w:tcPr>
          <w:p w14:paraId="6C0A6A35">
            <w:pPr>
              <w:spacing w:line="360" w:lineRule="auto"/>
              <w:jc w:val="center"/>
              <w:rPr>
                <w:rFonts w:hint="eastAsia" w:asciiTheme="minorEastAsia" w:hAnsiTheme="minorEastAsia"/>
                <w:szCs w:val="21"/>
              </w:rPr>
            </w:pPr>
            <w:r>
              <w:rPr>
                <w:rFonts w:hint="eastAsia" w:asciiTheme="minorEastAsia" w:hAnsiTheme="minorEastAsia"/>
              </w:rPr>
              <w:t>中国核工业二三建设有限公司</w:t>
            </w:r>
          </w:p>
        </w:tc>
        <w:tc>
          <w:tcPr>
            <w:tcW w:w="1843" w:type="dxa"/>
          </w:tcPr>
          <w:p w14:paraId="6699564F">
            <w:pPr>
              <w:spacing w:line="360" w:lineRule="auto"/>
              <w:jc w:val="center"/>
              <w:rPr>
                <w:rFonts w:hint="eastAsia" w:asciiTheme="minorEastAsia" w:hAnsiTheme="minorEastAsia"/>
                <w:szCs w:val="21"/>
              </w:rPr>
            </w:pPr>
            <w:r>
              <w:rPr>
                <w:rFonts w:hint="eastAsia" w:asciiTheme="minorEastAsia" w:hAnsiTheme="minorEastAsia"/>
              </w:rPr>
              <w:t>高级工程师</w:t>
            </w:r>
          </w:p>
        </w:tc>
        <w:tc>
          <w:tcPr>
            <w:tcW w:w="1751" w:type="dxa"/>
            <w:vAlign w:val="center"/>
          </w:tcPr>
          <w:p w14:paraId="2390F3A3">
            <w:pPr>
              <w:spacing w:line="360" w:lineRule="auto"/>
              <w:jc w:val="center"/>
              <w:rPr>
                <w:rFonts w:hint="eastAsia" w:asciiTheme="minorEastAsia" w:hAnsiTheme="minorEastAsia"/>
                <w:szCs w:val="21"/>
              </w:rPr>
            </w:pPr>
            <w:r>
              <w:rPr>
                <w:rFonts w:hint="eastAsia" w:asciiTheme="minorEastAsia" w:hAnsiTheme="minorEastAsia"/>
              </w:rPr>
              <w:t>参与审核</w:t>
            </w:r>
          </w:p>
        </w:tc>
      </w:tr>
      <w:tr w14:paraId="005D2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6E806D5D">
            <w:pPr>
              <w:spacing w:line="360" w:lineRule="auto"/>
              <w:jc w:val="center"/>
              <w:rPr>
                <w:rFonts w:hint="eastAsia" w:asciiTheme="minorEastAsia" w:hAnsiTheme="minorEastAsia"/>
                <w:szCs w:val="21"/>
              </w:rPr>
            </w:pPr>
            <w:r>
              <w:rPr>
                <w:rFonts w:hint="eastAsia" w:asciiTheme="minorEastAsia" w:hAnsiTheme="minorEastAsia"/>
              </w:rPr>
              <w:t>9</w:t>
            </w:r>
          </w:p>
        </w:tc>
        <w:tc>
          <w:tcPr>
            <w:tcW w:w="1134" w:type="dxa"/>
            <w:vAlign w:val="center"/>
          </w:tcPr>
          <w:p w14:paraId="4FF06D7D">
            <w:pPr>
              <w:spacing w:line="360" w:lineRule="auto"/>
              <w:jc w:val="center"/>
              <w:rPr>
                <w:rFonts w:hint="eastAsia" w:asciiTheme="minorEastAsia" w:hAnsiTheme="minorEastAsia"/>
                <w:szCs w:val="21"/>
              </w:rPr>
            </w:pPr>
            <w:r>
              <w:rPr>
                <w:rFonts w:hint="eastAsia" w:asciiTheme="minorEastAsia" w:hAnsiTheme="minorEastAsia"/>
              </w:rPr>
              <w:t>梁小燕</w:t>
            </w:r>
          </w:p>
        </w:tc>
        <w:tc>
          <w:tcPr>
            <w:tcW w:w="2977" w:type="dxa"/>
            <w:vAlign w:val="center"/>
          </w:tcPr>
          <w:p w14:paraId="55A5330B">
            <w:pPr>
              <w:spacing w:line="360" w:lineRule="auto"/>
              <w:jc w:val="center"/>
              <w:rPr>
                <w:rFonts w:hint="eastAsia" w:asciiTheme="minorEastAsia" w:hAnsiTheme="minorEastAsia"/>
                <w:szCs w:val="21"/>
              </w:rPr>
            </w:pPr>
            <w:r>
              <w:rPr>
                <w:rFonts w:hint="eastAsia" w:asciiTheme="minorEastAsia" w:hAnsiTheme="minorEastAsia"/>
              </w:rPr>
              <w:t>中国核工业二三建设有限公司</w:t>
            </w:r>
          </w:p>
        </w:tc>
        <w:tc>
          <w:tcPr>
            <w:tcW w:w="1843" w:type="dxa"/>
          </w:tcPr>
          <w:p w14:paraId="3DA416A5">
            <w:pPr>
              <w:spacing w:line="360" w:lineRule="auto"/>
              <w:jc w:val="center"/>
              <w:rPr>
                <w:rFonts w:hint="eastAsia" w:asciiTheme="minorEastAsia" w:hAnsiTheme="minorEastAsia"/>
                <w:szCs w:val="21"/>
              </w:rPr>
            </w:pPr>
            <w:r>
              <w:rPr>
                <w:rFonts w:hint="eastAsia" w:asciiTheme="minorEastAsia" w:hAnsiTheme="minorEastAsia"/>
              </w:rPr>
              <w:t>高级工程师</w:t>
            </w:r>
          </w:p>
        </w:tc>
        <w:tc>
          <w:tcPr>
            <w:tcW w:w="1751" w:type="dxa"/>
            <w:vAlign w:val="center"/>
          </w:tcPr>
          <w:p w14:paraId="5B059620">
            <w:pPr>
              <w:spacing w:line="360" w:lineRule="auto"/>
              <w:jc w:val="center"/>
              <w:rPr>
                <w:rFonts w:hint="eastAsia" w:asciiTheme="minorEastAsia" w:hAnsiTheme="minorEastAsia"/>
                <w:szCs w:val="21"/>
              </w:rPr>
            </w:pPr>
            <w:r>
              <w:rPr>
                <w:rFonts w:asciiTheme="minorEastAsia" w:hAnsiTheme="minorEastAsia"/>
              </w:rPr>
              <w:t>参与</w:t>
            </w:r>
            <w:r>
              <w:rPr>
                <w:rFonts w:hint="eastAsia" w:asciiTheme="minorEastAsia" w:hAnsiTheme="minorEastAsia"/>
              </w:rPr>
              <w:t>编制</w:t>
            </w:r>
          </w:p>
        </w:tc>
      </w:tr>
      <w:tr w14:paraId="6F946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4499BAEC">
            <w:pPr>
              <w:spacing w:line="360" w:lineRule="auto"/>
              <w:jc w:val="center"/>
              <w:rPr>
                <w:rFonts w:hint="eastAsia" w:asciiTheme="minorEastAsia" w:hAnsiTheme="minorEastAsia"/>
                <w:szCs w:val="21"/>
              </w:rPr>
            </w:pPr>
            <w:r>
              <w:rPr>
                <w:rFonts w:hint="eastAsia" w:asciiTheme="minorEastAsia" w:hAnsiTheme="minorEastAsia"/>
              </w:rPr>
              <w:t>10</w:t>
            </w:r>
          </w:p>
        </w:tc>
        <w:tc>
          <w:tcPr>
            <w:tcW w:w="1134" w:type="dxa"/>
            <w:vAlign w:val="center"/>
          </w:tcPr>
          <w:p w14:paraId="58A4D1E4">
            <w:pPr>
              <w:spacing w:line="360" w:lineRule="auto"/>
              <w:jc w:val="center"/>
              <w:rPr>
                <w:rFonts w:hint="eastAsia" w:asciiTheme="minorEastAsia" w:hAnsiTheme="minorEastAsia"/>
                <w:szCs w:val="21"/>
              </w:rPr>
            </w:pPr>
            <w:r>
              <w:rPr>
                <w:rFonts w:hint="eastAsia" w:asciiTheme="minorEastAsia" w:hAnsiTheme="minorEastAsia"/>
              </w:rPr>
              <w:t>杨炳楠</w:t>
            </w:r>
          </w:p>
        </w:tc>
        <w:tc>
          <w:tcPr>
            <w:tcW w:w="2977" w:type="dxa"/>
            <w:vAlign w:val="center"/>
          </w:tcPr>
          <w:p w14:paraId="4614EFB8">
            <w:pPr>
              <w:spacing w:line="360" w:lineRule="auto"/>
              <w:jc w:val="center"/>
              <w:rPr>
                <w:rFonts w:hint="eastAsia" w:asciiTheme="minorEastAsia" w:hAnsiTheme="minorEastAsia"/>
                <w:szCs w:val="21"/>
              </w:rPr>
            </w:pPr>
            <w:r>
              <w:rPr>
                <w:rFonts w:hint="eastAsia" w:asciiTheme="minorEastAsia" w:hAnsiTheme="minorEastAsia"/>
              </w:rPr>
              <w:t>中国核工业二三建设有限公司</w:t>
            </w:r>
          </w:p>
        </w:tc>
        <w:tc>
          <w:tcPr>
            <w:tcW w:w="1843" w:type="dxa"/>
            <w:vAlign w:val="center"/>
          </w:tcPr>
          <w:p w14:paraId="2C3D4228">
            <w:pPr>
              <w:spacing w:line="360" w:lineRule="auto"/>
              <w:jc w:val="center"/>
              <w:rPr>
                <w:rFonts w:hint="eastAsia" w:asciiTheme="minorEastAsia" w:hAnsiTheme="minorEastAsia"/>
                <w:szCs w:val="21"/>
              </w:rPr>
            </w:pPr>
            <w:r>
              <w:rPr>
                <w:rFonts w:hint="eastAsia" w:asciiTheme="minorEastAsia" w:hAnsiTheme="minorEastAsia"/>
              </w:rPr>
              <w:t>工程师</w:t>
            </w:r>
          </w:p>
        </w:tc>
        <w:tc>
          <w:tcPr>
            <w:tcW w:w="1751" w:type="dxa"/>
            <w:vAlign w:val="center"/>
          </w:tcPr>
          <w:p w14:paraId="451FC9FA">
            <w:pPr>
              <w:spacing w:line="360" w:lineRule="auto"/>
              <w:jc w:val="center"/>
              <w:rPr>
                <w:rFonts w:hint="eastAsia" w:asciiTheme="minorEastAsia" w:hAnsiTheme="minorEastAsia"/>
                <w:szCs w:val="21"/>
              </w:rPr>
            </w:pPr>
            <w:r>
              <w:rPr>
                <w:rFonts w:asciiTheme="minorEastAsia" w:hAnsiTheme="minorEastAsia"/>
              </w:rPr>
              <w:t>参与</w:t>
            </w:r>
            <w:r>
              <w:rPr>
                <w:rFonts w:hint="eastAsia" w:asciiTheme="minorEastAsia" w:hAnsiTheme="minorEastAsia"/>
              </w:rPr>
              <w:t>编制</w:t>
            </w:r>
          </w:p>
        </w:tc>
      </w:tr>
      <w:tr w14:paraId="6085F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7D77EE31">
            <w:pPr>
              <w:spacing w:line="360" w:lineRule="auto"/>
              <w:jc w:val="center"/>
              <w:rPr>
                <w:rFonts w:hint="eastAsia" w:asciiTheme="minorEastAsia" w:hAnsiTheme="minorEastAsia"/>
                <w:szCs w:val="21"/>
              </w:rPr>
            </w:pPr>
            <w:r>
              <w:rPr>
                <w:rFonts w:hint="eastAsia" w:asciiTheme="minorEastAsia" w:hAnsiTheme="minorEastAsia"/>
              </w:rPr>
              <w:t>11</w:t>
            </w:r>
          </w:p>
        </w:tc>
        <w:tc>
          <w:tcPr>
            <w:tcW w:w="1134" w:type="dxa"/>
            <w:vAlign w:val="center"/>
          </w:tcPr>
          <w:p w14:paraId="7CF9D950">
            <w:pPr>
              <w:spacing w:line="360" w:lineRule="auto"/>
              <w:jc w:val="center"/>
              <w:rPr>
                <w:rFonts w:hint="eastAsia" w:asciiTheme="minorEastAsia" w:hAnsiTheme="minorEastAsia"/>
                <w:szCs w:val="21"/>
              </w:rPr>
            </w:pPr>
            <w:r>
              <w:rPr>
                <w:rFonts w:hint="eastAsia" w:asciiTheme="minorEastAsia" w:hAnsiTheme="minorEastAsia"/>
              </w:rPr>
              <w:t>于伟江</w:t>
            </w:r>
          </w:p>
        </w:tc>
        <w:tc>
          <w:tcPr>
            <w:tcW w:w="2977" w:type="dxa"/>
            <w:vAlign w:val="center"/>
          </w:tcPr>
          <w:p w14:paraId="1812DAA9">
            <w:pPr>
              <w:spacing w:line="360" w:lineRule="auto"/>
              <w:jc w:val="center"/>
              <w:rPr>
                <w:rFonts w:hint="eastAsia" w:asciiTheme="minorEastAsia" w:hAnsiTheme="minorEastAsia"/>
                <w:szCs w:val="21"/>
              </w:rPr>
            </w:pPr>
            <w:r>
              <w:rPr>
                <w:rFonts w:hint="eastAsia" w:asciiTheme="minorEastAsia" w:hAnsiTheme="minorEastAsia"/>
              </w:rPr>
              <w:t>中国核工业二三建设有限公司</w:t>
            </w:r>
          </w:p>
        </w:tc>
        <w:tc>
          <w:tcPr>
            <w:tcW w:w="1843" w:type="dxa"/>
            <w:vAlign w:val="center"/>
          </w:tcPr>
          <w:p w14:paraId="265B3DF8">
            <w:pPr>
              <w:spacing w:line="360" w:lineRule="auto"/>
              <w:jc w:val="center"/>
              <w:rPr>
                <w:rFonts w:hint="eastAsia" w:asciiTheme="minorEastAsia" w:hAnsiTheme="minorEastAsia"/>
                <w:szCs w:val="21"/>
              </w:rPr>
            </w:pPr>
            <w:r>
              <w:rPr>
                <w:rFonts w:hint="eastAsia" w:asciiTheme="minorEastAsia" w:hAnsiTheme="minorEastAsia"/>
              </w:rPr>
              <w:t>工程师</w:t>
            </w:r>
          </w:p>
        </w:tc>
        <w:tc>
          <w:tcPr>
            <w:tcW w:w="1751" w:type="dxa"/>
            <w:vAlign w:val="center"/>
          </w:tcPr>
          <w:p w14:paraId="15650BE4">
            <w:pPr>
              <w:spacing w:line="360" w:lineRule="auto"/>
              <w:jc w:val="center"/>
              <w:rPr>
                <w:rFonts w:hint="eastAsia" w:asciiTheme="minorEastAsia" w:hAnsiTheme="minorEastAsia"/>
                <w:szCs w:val="21"/>
              </w:rPr>
            </w:pPr>
            <w:r>
              <w:rPr>
                <w:rFonts w:hint="eastAsia" w:asciiTheme="minorEastAsia" w:hAnsiTheme="minorEastAsia"/>
              </w:rPr>
              <w:t>参与编制</w:t>
            </w:r>
          </w:p>
        </w:tc>
      </w:tr>
      <w:tr w14:paraId="4EF25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7D58E1B9">
            <w:pPr>
              <w:spacing w:line="360" w:lineRule="auto"/>
              <w:jc w:val="center"/>
              <w:rPr>
                <w:rFonts w:hint="eastAsia" w:asciiTheme="minorEastAsia" w:hAnsiTheme="minorEastAsia"/>
                <w:szCs w:val="21"/>
              </w:rPr>
            </w:pPr>
            <w:r>
              <w:rPr>
                <w:rFonts w:hint="eastAsia" w:asciiTheme="minorEastAsia" w:hAnsiTheme="minorEastAsia"/>
              </w:rPr>
              <w:t>12</w:t>
            </w:r>
          </w:p>
        </w:tc>
        <w:tc>
          <w:tcPr>
            <w:tcW w:w="1134" w:type="dxa"/>
            <w:vAlign w:val="center"/>
          </w:tcPr>
          <w:p w14:paraId="55D85FB4">
            <w:pPr>
              <w:spacing w:line="360" w:lineRule="auto"/>
              <w:jc w:val="center"/>
              <w:rPr>
                <w:rFonts w:hint="eastAsia" w:asciiTheme="minorEastAsia" w:hAnsiTheme="minorEastAsia"/>
                <w:szCs w:val="21"/>
              </w:rPr>
            </w:pPr>
            <w:r>
              <w:rPr>
                <w:rFonts w:hint="eastAsia" w:asciiTheme="minorEastAsia" w:hAnsiTheme="minorEastAsia"/>
              </w:rPr>
              <w:t>胡  岷</w:t>
            </w:r>
          </w:p>
        </w:tc>
        <w:tc>
          <w:tcPr>
            <w:tcW w:w="2977" w:type="dxa"/>
            <w:vAlign w:val="center"/>
          </w:tcPr>
          <w:p w14:paraId="68DC7300">
            <w:pPr>
              <w:spacing w:line="360" w:lineRule="auto"/>
              <w:jc w:val="center"/>
              <w:rPr>
                <w:rFonts w:hint="eastAsia" w:asciiTheme="minorEastAsia" w:hAnsiTheme="minorEastAsia"/>
                <w:szCs w:val="21"/>
              </w:rPr>
            </w:pPr>
            <w:r>
              <w:rPr>
                <w:rFonts w:hint="eastAsia" w:asciiTheme="minorEastAsia" w:hAnsiTheme="minorEastAsia"/>
              </w:rPr>
              <w:t>中国核工业二三建设有限公司</w:t>
            </w:r>
          </w:p>
        </w:tc>
        <w:tc>
          <w:tcPr>
            <w:tcW w:w="1843" w:type="dxa"/>
            <w:vAlign w:val="center"/>
          </w:tcPr>
          <w:p w14:paraId="6C34B571">
            <w:pPr>
              <w:spacing w:line="360" w:lineRule="auto"/>
              <w:jc w:val="center"/>
              <w:rPr>
                <w:rFonts w:hint="eastAsia" w:asciiTheme="minorEastAsia" w:hAnsiTheme="minorEastAsia"/>
                <w:szCs w:val="21"/>
              </w:rPr>
            </w:pPr>
            <w:r>
              <w:rPr>
                <w:rFonts w:hint="eastAsia" w:asciiTheme="minorEastAsia" w:hAnsiTheme="minorEastAsia"/>
              </w:rPr>
              <w:t>工程师</w:t>
            </w:r>
          </w:p>
        </w:tc>
        <w:tc>
          <w:tcPr>
            <w:tcW w:w="1751" w:type="dxa"/>
            <w:vAlign w:val="center"/>
          </w:tcPr>
          <w:p w14:paraId="3D21A637">
            <w:pPr>
              <w:spacing w:line="360" w:lineRule="auto"/>
              <w:jc w:val="center"/>
              <w:rPr>
                <w:rFonts w:hint="eastAsia" w:asciiTheme="minorEastAsia" w:hAnsiTheme="minorEastAsia"/>
                <w:szCs w:val="21"/>
              </w:rPr>
            </w:pPr>
            <w:r>
              <w:rPr>
                <w:rFonts w:hint="eastAsia" w:asciiTheme="minorEastAsia" w:hAnsiTheme="minorEastAsia"/>
              </w:rPr>
              <w:t>参与编制</w:t>
            </w:r>
          </w:p>
        </w:tc>
      </w:tr>
      <w:tr w14:paraId="19318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24ACB691">
            <w:pPr>
              <w:spacing w:line="360" w:lineRule="auto"/>
              <w:jc w:val="center"/>
              <w:rPr>
                <w:rFonts w:hint="eastAsia" w:asciiTheme="minorEastAsia" w:hAnsiTheme="minorEastAsia"/>
                <w:szCs w:val="21"/>
              </w:rPr>
            </w:pPr>
            <w:r>
              <w:rPr>
                <w:rFonts w:hint="eastAsia" w:asciiTheme="minorEastAsia" w:hAnsiTheme="minorEastAsia"/>
              </w:rPr>
              <w:t>13</w:t>
            </w:r>
          </w:p>
        </w:tc>
        <w:tc>
          <w:tcPr>
            <w:tcW w:w="1134" w:type="dxa"/>
            <w:vAlign w:val="center"/>
          </w:tcPr>
          <w:p w14:paraId="10E4A33C">
            <w:pPr>
              <w:spacing w:line="360" w:lineRule="auto"/>
              <w:jc w:val="center"/>
              <w:rPr>
                <w:rFonts w:hint="eastAsia" w:asciiTheme="minorEastAsia" w:hAnsiTheme="minorEastAsia"/>
                <w:szCs w:val="21"/>
              </w:rPr>
            </w:pPr>
            <w:r>
              <w:rPr>
                <w:rFonts w:hint="eastAsia" w:asciiTheme="minorEastAsia" w:hAnsiTheme="minorEastAsia"/>
              </w:rPr>
              <w:t>段新亮</w:t>
            </w:r>
          </w:p>
        </w:tc>
        <w:tc>
          <w:tcPr>
            <w:tcW w:w="2977" w:type="dxa"/>
            <w:vAlign w:val="center"/>
          </w:tcPr>
          <w:p w14:paraId="2E56DE02">
            <w:pPr>
              <w:spacing w:line="360" w:lineRule="auto"/>
              <w:jc w:val="center"/>
              <w:rPr>
                <w:rFonts w:hint="eastAsia" w:asciiTheme="minorEastAsia" w:hAnsiTheme="minorEastAsia"/>
                <w:szCs w:val="21"/>
              </w:rPr>
            </w:pPr>
            <w:r>
              <w:rPr>
                <w:rFonts w:hint="eastAsia" w:asciiTheme="minorEastAsia" w:hAnsiTheme="minorEastAsia"/>
              </w:rPr>
              <w:t>中国核工业二三建设有限公司</w:t>
            </w:r>
          </w:p>
        </w:tc>
        <w:tc>
          <w:tcPr>
            <w:tcW w:w="1843" w:type="dxa"/>
            <w:vAlign w:val="center"/>
          </w:tcPr>
          <w:p w14:paraId="558FC8D1">
            <w:pPr>
              <w:spacing w:line="360" w:lineRule="auto"/>
              <w:jc w:val="center"/>
              <w:rPr>
                <w:rFonts w:hint="eastAsia" w:asciiTheme="minorEastAsia" w:hAnsiTheme="minorEastAsia"/>
                <w:szCs w:val="21"/>
              </w:rPr>
            </w:pPr>
            <w:r>
              <w:rPr>
                <w:rFonts w:hint="eastAsia" w:asciiTheme="minorEastAsia" w:hAnsiTheme="minorEastAsia"/>
              </w:rPr>
              <w:t>高级工程师</w:t>
            </w:r>
          </w:p>
        </w:tc>
        <w:tc>
          <w:tcPr>
            <w:tcW w:w="1751" w:type="dxa"/>
            <w:vAlign w:val="center"/>
          </w:tcPr>
          <w:p w14:paraId="0817EED1">
            <w:pPr>
              <w:spacing w:line="360" w:lineRule="auto"/>
              <w:jc w:val="center"/>
              <w:rPr>
                <w:rFonts w:hint="eastAsia" w:asciiTheme="minorEastAsia" w:hAnsiTheme="minorEastAsia"/>
                <w:szCs w:val="21"/>
              </w:rPr>
            </w:pPr>
            <w:r>
              <w:rPr>
                <w:rFonts w:asciiTheme="minorEastAsia" w:hAnsiTheme="minorEastAsia"/>
              </w:rPr>
              <w:t>参与</w:t>
            </w:r>
            <w:r>
              <w:rPr>
                <w:rFonts w:hint="eastAsia" w:asciiTheme="minorEastAsia" w:hAnsiTheme="minorEastAsia"/>
              </w:rPr>
              <w:t>编制</w:t>
            </w:r>
          </w:p>
        </w:tc>
      </w:tr>
      <w:tr w14:paraId="69EB0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70FF8015">
            <w:pPr>
              <w:spacing w:line="360" w:lineRule="auto"/>
              <w:jc w:val="center"/>
              <w:rPr>
                <w:rFonts w:hint="eastAsia" w:asciiTheme="minorEastAsia" w:hAnsiTheme="minorEastAsia"/>
                <w:szCs w:val="21"/>
              </w:rPr>
            </w:pPr>
            <w:r>
              <w:rPr>
                <w:rFonts w:hint="eastAsia" w:asciiTheme="minorEastAsia" w:hAnsiTheme="minorEastAsia"/>
              </w:rPr>
              <w:t>14</w:t>
            </w:r>
          </w:p>
        </w:tc>
        <w:tc>
          <w:tcPr>
            <w:tcW w:w="1134" w:type="dxa"/>
            <w:vAlign w:val="center"/>
          </w:tcPr>
          <w:p w14:paraId="14E19F8A">
            <w:pPr>
              <w:jc w:val="center"/>
              <w:rPr>
                <w:rFonts w:hint="eastAsia" w:asciiTheme="minorEastAsia" w:hAnsiTheme="minorEastAsia"/>
                <w:szCs w:val="21"/>
              </w:rPr>
            </w:pPr>
            <w:r>
              <w:rPr>
                <w:rFonts w:hint="eastAsia" w:asciiTheme="minorEastAsia" w:hAnsiTheme="minorEastAsia"/>
              </w:rPr>
              <w:t>王  叶</w:t>
            </w:r>
          </w:p>
        </w:tc>
        <w:tc>
          <w:tcPr>
            <w:tcW w:w="2977" w:type="dxa"/>
            <w:vAlign w:val="center"/>
          </w:tcPr>
          <w:p w14:paraId="2EB238FE">
            <w:pPr>
              <w:jc w:val="center"/>
              <w:rPr>
                <w:rFonts w:hint="eastAsia" w:asciiTheme="minorEastAsia" w:hAnsiTheme="minorEastAsia"/>
                <w:szCs w:val="21"/>
              </w:rPr>
            </w:pPr>
            <w:r>
              <w:rPr>
                <w:rFonts w:hint="eastAsia" w:asciiTheme="minorEastAsia" w:hAnsiTheme="minorEastAsia"/>
              </w:rPr>
              <w:t>中国核工业二三建设有限公司</w:t>
            </w:r>
          </w:p>
        </w:tc>
        <w:tc>
          <w:tcPr>
            <w:tcW w:w="1843" w:type="dxa"/>
            <w:vAlign w:val="center"/>
          </w:tcPr>
          <w:p w14:paraId="0641232C">
            <w:pPr>
              <w:jc w:val="center"/>
              <w:rPr>
                <w:rFonts w:hint="eastAsia" w:asciiTheme="minorEastAsia" w:hAnsiTheme="minorEastAsia"/>
                <w:szCs w:val="21"/>
              </w:rPr>
            </w:pPr>
            <w:r>
              <w:rPr>
                <w:rFonts w:hint="eastAsia" w:asciiTheme="minorEastAsia" w:hAnsiTheme="minorEastAsia"/>
              </w:rPr>
              <w:t>研究员级高级工程师</w:t>
            </w:r>
          </w:p>
        </w:tc>
        <w:tc>
          <w:tcPr>
            <w:tcW w:w="1751" w:type="dxa"/>
            <w:vAlign w:val="center"/>
          </w:tcPr>
          <w:p w14:paraId="0BEEF99F">
            <w:pPr>
              <w:jc w:val="center"/>
              <w:rPr>
                <w:rFonts w:hint="eastAsia" w:asciiTheme="minorEastAsia" w:hAnsiTheme="minorEastAsia"/>
                <w:szCs w:val="21"/>
              </w:rPr>
            </w:pPr>
            <w:r>
              <w:rPr>
                <w:rFonts w:asciiTheme="minorEastAsia" w:hAnsiTheme="minorEastAsia"/>
              </w:rPr>
              <w:t>参与</w:t>
            </w:r>
            <w:r>
              <w:rPr>
                <w:rFonts w:hint="eastAsia" w:asciiTheme="minorEastAsia" w:hAnsiTheme="minorEastAsia"/>
              </w:rPr>
              <w:t>编制</w:t>
            </w:r>
          </w:p>
        </w:tc>
      </w:tr>
      <w:tr w14:paraId="464D6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10DAC8AC">
            <w:pPr>
              <w:spacing w:line="360" w:lineRule="auto"/>
              <w:jc w:val="center"/>
              <w:rPr>
                <w:rFonts w:hint="eastAsia" w:asciiTheme="minorEastAsia" w:hAnsiTheme="minorEastAsia"/>
                <w:szCs w:val="21"/>
              </w:rPr>
            </w:pPr>
            <w:r>
              <w:rPr>
                <w:rFonts w:hint="eastAsia" w:asciiTheme="minorEastAsia" w:hAnsiTheme="minorEastAsia"/>
              </w:rPr>
              <w:t>15</w:t>
            </w:r>
          </w:p>
        </w:tc>
        <w:tc>
          <w:tcPr>
            <w:tcW w:w="1134" w:type="dxa"/>
            <w:vAlign w:val="center"/>
          </w:tcPr>
          <w:p w14:paraId="34512F00">
            <w:pPr>
              <w:spacing w:line="360" w:lineRule="auto"/>
              <w:jc w:val="center"/>
              <w:rPr>
                <w:rFonts w:hint="eastAsia" w:asciiTheme="minorEastAsia" w:hAnsiTheme="minorEastAsia"/>
                <w:szCs w:val="21"/>
              </w:rPr>
            </w:pPr>
            <w:r>
              <w:rPr>
                <w:rFonts w:hint="eastAsia" w:asciiTheme="minorEastAsia" w:hAnsiTheme="minorEastAsia"/>
              </w:rPr>
              <w:t>兰垂祥</w:t>
            </w:r>
          </w:p>
        </w:tc>
        <w:tc>
          <w:tcPr>
            <w:tcW w:w="2977" w:type="dxa"/>
            <w:vAlign w:val="center"/>
          </w:tcPr>
          <w:p w14:paraId="2984D58A">
            <w:pPr>
              <w:spacing w:line="360" w:lineRule="auto"/>
              <w:jc w:val="center"/>
              <w:rPr>
                <w:rFonts w:hint="eastAsia" w:asciiTheme="minorEastAsia" w:hAnsiTheme="minorEastAsia"/>
                <w:szCs w:val="21"/>
              </w:rPr>
            </w:pPr>
            <w:r>
              <w:rPr>
                <w:rFonts w:hint="eastAsia" w:asciiTheme="minorEastAsia" w:hAnsiTheme="minorEastAsia"/>
              </w:rPr>
              <w:t>中国核工业二三建设有限公司</w:t>
            </w:r>
          </w:p>
        </w:tc>
        <w:tc>
          <w:tcPr>
            <w:tcW w:w="1843" w:type="dxa"/>
          </w:tcPr>
          <w:p w14:paraId="6800CDFF">
            <w:pPr>
              <w:spacing w:line="360" w:lineRule="auto"/>
              <w:jc w:val="center"/>
              <w:rPr>
                <w:rFonts w:hint="eastAsia" w:asciiTheme="minorEastAsia" w:hAnsiTheme="minorEastAsia"/>
                <w:szCs w:val="21"/>
              </w:rPr>
            </w:pPr>
            <w:r>
              <w:rPr>
                <w:rFonts w:hint="eastAsia" w:asciiTheme="minorEastAsia" w:hAnsiTheme="minorEastAsia"/>
              </w:rPr>
              <w:t>高级工程师</w:t>
            </w:r>
          </w:p>
        </w:tc>
        <w:tc>
          <w:tcPr>
            <w:tcW w:w="1751" w:type="dxa"/>
            <w:vAlign w:val="center"/>
          </w:tcPr>
          <w:p w14:paraId="01EB98B1">
            <w:pPr>
              <w:spacing w:line="360" w:lineRule="auto"/>
              <w:jc w:val="center"/>
              <w:rPr>
                <w:rFonts w:hint="eastAsia" w:asciiTheme="minorEastAsia" w:hAnsiTheme="minorEastAsia"/>
                <w:szCs w:val="21"/>
              </w:rPr>
            </w:pPr>
            <w:r>
              <w:rPr>
                <w:rFonts w:asciiTheme="minorEastAsia" w:hAnsiTheme="minorEastAsia"/>
              </w:rPr>
              <w:t>参与</w:t>
            </w:r>
            <w:r>
              <w:rPr>
                <w:rFonts w:hint="eastAsia" w:asciiTheme="minorEastAsia" w:hAnsiTheme="minorEastAsia"/>
              </w:rPr>
              <w:t>编制</w:t>
            </w:r>
          </w:p>
        </w:tc>
      </w:tr>
      <w:tr w14:paraId="540E7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14:paraId="447583C1">
            <w:pPr>
              <w:spacing w:line="360" w:lineRule="auto"/>
              <w:jc w:val="center"/>
              <w:rPr>
                <w:rFonts w:hint="eastAsia" w:asciiTheme="minorEastAsia" w:hAnsiTheme="minorEastAsia"/>
                <w:szCs w:val="21"/>
              </w:rPr>
            </w:pPr>
            <w:r>
              <w:rPr>
                <w:rFonts w:hint="eastAsia" w:asciiTheme="minorEastAsia" w:hAnsiTheme="minorEastAsia"/>
              </w:rPr>
              <w:t>16</w:t>
            </w:r>
          </w:p>
        </w:tc>
        <w:tc>
          <w:tcPr>
            <w:tcW w:w="1134" w:type="dxa"/>
            <w:vAlign w:val="center"/>
          </w:tcPr>
          <w:p w14:paraId="6B4C5010">
            <w:pPr>
              <w:spacing w:line="360" w:lineRule="auto"/>
              <w:jc w:val="center"/>
              <w:rPr>
                <w:rFonts w:hint="eastAsia" w:asciiTheme="minorEastAsia" w:hAnsiTheme="minorEastAsia"/>
                <w:szCs w:val="21"/>
              </w:rPr>
            </w:pPr>
            <w:r>
              <w:rPr>
                <w:rFonts w:hint="eastAsia" w:asciiTheme="minorEastAsia" w:hAnsiTheme="minorEastAsia"/>
              </w:rPr>
              <w:t>罗贤宝</w:t>
            </w:r>
          </w:p>
        </w:tc>
        <w:tc>
          <w:tcPr>
            <w:tcW w:w="2977" w:type="dxa"/>
            <w:vAlign w:val="center"/>
          </w:tcPr>
          <w:p w14:paraId="69A8648E">
            <w:pPr>
              <w:spacing w:line="360" w:lineRule="auto"/>
              <w:jc w:val="center"/>
              <w:rPr>
                <w:rFonts w:hint="eastAsia" w:asciiTheme="minorEastAsia" w:hAnsiTheme="minorEastAsia"/>
                <w:szCs w:val="21"/>
              </w:rPr>
            </w:pPr>
            <w:r>
              <w:rPr>
                <w:rFonts w:hint="eastAsia" w:asciiTheme="minorEastAsia" w:hAnsiTheme="minorEastAsia"/>
              </w:rPr>
              <w:t>中国核工业二三建设有限公司</w:t>
            </w:r>
          </w:p>
        </w:tc>
        <w:tc>
          <w:tcPr>
            <w:tcW w:w="1843" w:type="dxa"/>
          </w:tcPr>
          <w:p w14:paraId="7C268768">
            <w:pPr>
              <w:spacing w:line="360" w:lineRule="auto"/>
              <w:jc w:val="center"/>
              <w:rPr>
                <w:rFonts w:hint="eastAsia" w:asciiTheme="minorEastAsia" w:hAnsiTheme="minorEastAsia"/>
                <w:szCs w:val="21"/>
              </w:rPr>
            </w:pPr>
            <w:r>
              <w:rPr>
                <w:rFonts w:hint="eastAsia" w:asciiTheme="minorEastAsia" w:hAnsiTheme="minorEastAsia"/>
              </w:rPr>
              <w:t>高级工程师</w:t>
            </w:r>
          </w:p>
        </w:tc>
        <w:tc>
          <w:tcPr>
            <w:tcW w:w="1751" w:type="dxa"/>
            <w:vAlign w:val="center"/>
          </w:tcPr>
          <w:p w14:paraId="6D25893B">
            <w:pPr>
              <w:spacing w:line="360" w:lineRule="auto"/>
              <w:jc w:val="center"/>
              <w:rPr>
                <w:rFonts w:hint="eastAsia" w:asciiTheme="minorEastAsia" w:hAnsiTheme="minorEastAsia"/>
                <w:szCs w:val="21"/>
              </w:rPr>
            </w:pPr>
            <w:r>
              <w:rPr>
                <w:rFonts w:asciiTheme="minorEastAsia" w:hAnsiTheme="minorEastAsia"/>
              </w:rPr>
              <w:t>参与编制</w:t>
            </w:r>
          </w:p>
        </w:tc>
      </w:tr>
    </w:tbl>
    <w:p w14:paraId="21A400A4">
      <w:pPr>
        <w:numPr>
          <w:ilvl w:val="0"/>
          <w:numId w:val="1"/>
        </w:numPr>
        <w:spacing w:before="240" w:after="240" w:line="360" w:lineRule="auto"/>
        <w:rPr>
          <w:rFonts w:ascii="黑体" w:eastAsia="黑体"/>
          <w:sz w:val="28"/>
          <w:szCs w:val="28"/>
        </w:rPr>
      </w:pPr>
      <w:r>
        <w:rPr>
          <w:rFonts w:hint="eastAsia" w:ascii="黑体" w:eastAsia="黑体"/>
          <w:sz w:val="28"/>
          <w:szCs w:val="28"/>
        </w:rPr>
        <w:t>编制过程</w:t>
      </w:r>
    </w:p>
    <w:p w14:paraId="3770C589">
      <w:pPr>
        <w:pStyle w:val="26"/>
        <w:spacing w:after="0" w:line="360" w:lineRule="auto"/>
        <w:ind w:firstLine="480" w:firstLineChars="200"/>
        <w:jc w:val="both"/>
        <w:rPr>
          <w:rFonts w:hint="eastAsia"/>
        </w:rPr>
      </w:pPr>
      <w:r>
        <w:t>本标准的</w:t>
      </w:r>
      <w:r>
        <w:rPr>
          <w:rFonts w:hint="eastAsia"/>
        </w:rPr>
        <w:t>起草</w:t>
      </w:r>
      <w:r>
        <w:t>过程主要分为前期准备、初稿编写阶段、征求意见稿编写阶段</w:t>
      </w:r>
      <w:r>
        <w:rPr>
          <w:rFonts w:hint="eastAsia"/>
        </w:rPr>
        <w:t>。</w:t>
      </w:r>
    </w:p>
    <w:p w14:paraId="20EFCC04">
      <w:pPr>
        <w:spacing w:before="240" w:line="360" w:lineRule="auto"/>
        <w:rPr>
          <w:rFonts w:hint="eastAsia" w:ascii="黑体" w:hAnsi="黑体" w:eastAsia="黑体"/>
          <w:kern w:val="0"/>
          <w:sz w:val="24"/>
        </w:rPr>
      </w:pPr>
      <w:r>
        <w:rPr>
          <w:rFonts w:hint="eastAsia" w:ascii="黑体" w:hAnsi="黑体" w:eastAsia="黑体"/>
          <w:kern w:val="0"/>
          <w:sz w:val="24"/>
        </w:rPr>
        <w:t>3.1前期准备（2025年2月-2025年5月）</w:t>
      </w:r>
    </w:p>
    <w:p w14:paraId="7ECCCC87">
      <w:pPr>
        <w:spacing w:line="360" w:lineRule="auto"/>
        <w:ind w:firstLine="480" w:firstLineChars="200"/>
        <w:rPr>
          <w:rFonts w:ascii="宋体" w:hAnsi="宋体"/>
          <w:kern w:val="0"/>
          <w:sz w:val="24"/>
          <w:lang w:val="zh-CN"/>
        </w:rPr>
      </w:pPr>
      <w:r>
        <w:rPr>
          <w:rFonts w:hint="eastAsia" w:ascii="宋体" w:hAnsi="宋体"/>
          <w:kern w:val="0"/>
          <w:sz w:val="24"/>
        </w:rPr>
        <w:t>前期准备阶段主要任务是成立</w:t>
      </w:r>
      <w:r>
        <w:rPr>
          <w:rFonts w:hint="eastAsia" w:ascii="宋体" w:hAnsi="宋体"/>
          <w:kern w:val="0"/>
          <w:sz w:val="24"/>
          <w:lang w:val="zh-CN"/>
        </w:rPr>
        <w:t>起草工作组、</w:t>
      </w:r>
      <w:r>
        <w:rPr>
          <w:rFonts w:ascii="宋体" w:hAnsi="宋体"/>
          <w:kern w:val="0"/>
          <w:sz w:val="24"/>
          <w:lang w:val="zh-CN"/>
        </w:rPr>
        <w:t>分解工作任务、文件收集和调研分析、明确标准编制的进度控制。</w:t>
      </w:r>
    </w:p>
    <w:p w14:paraId="4BCCE885">
      <w:pPr>
        <w:spacing w:line="360" w:lineRule="auto"/>
        <w:ind w:firstLine="480" w:firstLineChars="200"/>
        <w:rPr>
          <w:rFonts w:ascii="宋体" w:hAnsi="宋体"/>
          <w:kern w:val="0"/>
          <w:sz w:val="24"/>
        </w:rPr>
      </w:pPr>
      <w:r>
        <w:rPr>
          <w:rFonts w:ascii="宋体" w:hAnsi="宋体"/>
          <w:kern w:val="0"/>
          <w:sz w:val="24"/>
        </w:rPr>
        <w:t>在前期准备阶段成立标准</w:t>
      </w:r>
      <w:r>
        <w:rPr>
          <w:rFonts w:hint="eastAsia" w:ascii="宋体" w:hAnsi="宋体"/>
          <w:kern w:val="0"/>
          <w:sz w:val="24"/>
        </w:rPr>
        <w:t>起草</w:t>
      </w:r>
      <w:r>
        <w:rPr>
          <w:rFonts w:ascii="宋体" w:hAnsi="宋体"/>
          <w:kern w:val="0"/>
          <w:sz w:val="24"/>
        </w:rPr>
        <w:t>小组和明确工作任务后，首先消化吸收</w:t>
      </w:r>
      <w:r>
        <w:rPr>
          <w:rFonts w:hint="eastAsia" w:ascii="宋体" w:hAnsi="宋体"/>
          <w:kern w:val="0"/>
          <w:sz w:val="24"/>
        </w:rPr>
        <w:t>清华大学核研院</w:t>
      </w:r>
      <w:r>
        <w:rPr>
          <w:rFonts w:ascii="宋体" w:hAnsi="宋体"/>
          <w:kern w:val="0"/>
          <w:sz w:val="24"/>
        </w:rPr>
        <w:t>编制的相关</w:t>
      </w:r>
      <w:r>
        <w:rPr>
          <w:rFonts w:hint="eastAsia" w:ascii="宋体" w:hAnsi="宋体"/>
          <w:kern w:val="0"/>
          <w:sz w:val="24"/>
        </w:rPr>
        <w:t>安装</w:t>
      </w:r>
      <w:r>
        <w:rPr>
          <w:rFonts w:ascii="宋体" w:hAnsi="宋体"/>
          <w:kern w:val="0"/>
          <w:sz w:val="24"/>
        </w:rPr>
        <w:t>技术</w:t>
      </w:r>
      <w:r>
        <w:rPr>
          <w:rFonts w:hint="eastAsia" w:ascii="宋体" w:hAnsi="宋体"/>
          <w:kern w:val="0"/>
          <w:sz w:val="24"/>
        </w:rPr>
        <w:t>条件</w:t>
      </w:r>
      <w:r>
        <w:rPr>
          <w:rFonts w:ascii="宋体" w:hAnsi="宋体"/>
          <w:kern w:val="0"/>
          <w:sz w:val="24"/>
        </w:rPr>
        <w:t>，收集了国标（GB）和能源标准（NB）有关的</w:t>
      </w:r>
      <w:r>
        <w:rPr>
          <w:rFonts w:hint="eastAsia" w:ascii="宋体" w:hAnsi="宋体"/>
          <w:kern w:val="0"/>
          <w:sz w:val="24"/>
        </w:rPr>
        <w:t>核电厂堆内构件安装</w:t>
      </w:r>
      <w:r>
        <w:rPr>
          <w:rFonts w:ascii="宋体" w:hAnsi="宋体"/>
          <w:kern w:val="0"/>
          <w:sz w:val="24"/>
        </w:rPr>
        <w:t>标准，并对上述所有标准进行了研究和分析，确立</w:t>
      </w:r>
      <w:r>
        <w:rPr>
          <w:rFonts w:hint="eastAsia" w:ascii="宋体" w:hAnsi="宋体"/>
          <w:kern w:val="0"/>
          <w:sz w:val="24"/>
        </w:rPr>
        <w:t>起草</w:t>
      </w:r>
      <w:r>
        <w:rPr>
          <w:rFonts w:ascii="宋体" w:hAnsi="宋体"/>
          <w:kern w:val="0"/>
          <w:sz w:val="24"/>
        </w:rPr>
        <w:t>标准的构架以及技术内容。</w:t>
      </w:r>
    </w:p>
    <w:p w14:paraId="64C81BE4">
      <w:pPr>
        <w:spacing w:line="360" w:lineRule="auto"/>
        <w:ind w:firstLine="480" w:firstLineChars="200"/>
        <w:rPr>
          <w:rFonts w:ascii="宋体" w:hAnsi="宋体"/>
          <w:kern w:val="0"/>
          <w:sz w:val="24"/>
        </w:rPr>
      </w:pPr>
      <w:r>
        <w:rPr>
          <w:rFonts w:ascii="宋体" w:hAnsi="宋体"/>
          <w:kern w:val="0"/>
          <w:sz w:val="24"/>
        </w:rPr>
        <w:t>根据核电标准体系研究的前期工作分析结果，确定了本标准</w:t>
      </w:r>
      <w:r>
        <w:rPr>
          <w:rFonts w:hint="eastAsia" w:ascii="宋体" w:hAnsi="宋体"/>
          <w:kern w:val="0"/>
          <w:sz w:val="24"/>
        </w:rPr>
        <w:t>起草</w:t>
      </w:r>
      <w:r>
        <w:rPr>
          <w:rFonts w:ascii="宋体" w:hAnsi="宋体"/>
          <w:kern w:val="0"/>
          <w:sz w:val="24"/>
        </w:rPr>
        <w:t>的进度安排。</w:t>
      </w:r>
    </w:p>
    <w:p w14:paraId="0F938C40">
      <w:pPr>
        <w:spacing w:line="360" w:lineRule="auto"/>
        <w:ind w:firstLine="480" w:firstLineChars="200"/>
        <w:rPr>
          <w:rFonts w:hint="eastAsia" w:ascii="宋体" w:hAnsi="宋体"/>
          <w:kern w:val="0"/>
          <w:sz w:val="24"/>
        </w:rPr>
      </w:pPr>
      <w:r>
        <w:rPr>
          <w:rFonts w:ascii="宋体" w:hAnsi="宋体"/>
          <w:kern w:val="0"/>
          <w:sz w:val="24"/>
        </w:rPr>
        <w:t>在上述调研分析的基础上同时结合国内实际情况，起草了本标准的初稿。</w:t>
      </w:r>
    </w:p>
    <w:p w14:paraId="2A338496">
      <w:pPr>
        <w:spacing w:line="360" w:lineRule="auto"/>
        <w:ind w:firstLine="480" w:firstLineChars="200"/>
        <w:rPr>
          <w:rFonts w:hint="eastAsia" w:ascii="宋体" w:hAnsi="宋体"/>
          <w:kern w:val="0"/>
          <w:sz w:val="24"/>
        </w:rPr>
      </w:pPr>
      <w:r>
        <w:rPr>
          <w:rFonts w:hint="eastAsia" w:ascii="宋体" w:hAnsi="宋体"/>
          <w:kern w:val="0"/>
          <w:sz w:val="24"/>
        </w:rPr>
        <w:t>核工业标准化研究所于2025年5月13日-2025年5月14日于北京组织有关单位专家和代表召开了立项把关审查会，共有来自生态环境部核与辐射安全中心、中核战略规划研究总院、苏州热工研究院有限公司、华能核能技术研究院、清华大学、中国核动力研究设计院等11位评审专家参会，与会专家听取了编制组对标准编制背景情况的汇报，经过对标准内容深入讨论，对标准技术内容无实质性分歧意见，建议该标准立项，并提出部分修改意见。会后编制组对建议书和标准草案进行了修改。</w:t>
      </w:r>
    </w:p>
    <w:p w14:paraId="0CC8EDD1">
      <w:pPr>
        <w:spacing w:before="240" w:line="360" w:lineRule="auto"/>
        <w:rPr>
          <w:rFonts w:hint="eastAsia" w:ascii="黑体" w:hAnsi="黑体" w:eastAsia="黑体"/>
          <w:kern w:val="0"/>
          <w:sz w:val="24"/>
        </w:rPr>
      </w:pPr>
      <w:r>
        <w:rPr>
          <w:rFonts w:hint="eastAsia" w:ascii="黑体" w:hAnsi="黑体" w:eastAsia="黑体"/>
          <w:kern w:val="0"/>
          <w:sz w:val="24"/>
        </w:rPr>
        <w:t>3.</w:t>
      </w:r>
      <w:r>
        <w:rPr>
          <w:rFonts w:hint="eastAsia" w:ascii="黑体" w:hAnsi="黑体" w:eastAsia="黑体"/>
          <w:kern w:val="0"/>
          <w:sz w:val="24"/>
          <w:lang w:val="en-US" w:eastAsia="zh-CN"/>
        </w:rPr>
        <w:t>2</w:t>
      </w:r>
      <w:bookmarkStart w:id="38" w:name="_GoBack"/>
      <w:bookmarkEnd w:id="38"/>
      <w:r>
        <w:rPr>
          <w:rFonts w:hint="eastAsia" w:ascii="黑体" w:hAnsi="黑体" w:eastAsia="黑体"/>
          <w:kern w:val="0"/>
          <w:sz w:val="24"/>
        </w:rPr>
        <w:t>征求意见稿编制（2025年11月-2026年6月）</w:t>
      </w:r>
    </w:p>
    <w:p w14:paraId="68E16E3B">
      <w:pPr>
        <w:spacing w:line="360" w:lineRule="auto"/>
        <w:ind w:firstLine="480" w:firstLineChars="200"/>
        <w:rPr>
          <w:rFonts w:ascii="宋体" w:hAnsi="宋体"/>
          <w:kern w:val="0"/>
          <w:sz w:val="24"/>
        </w:rPr>
      </w:pPr>
      <w:r>
        <w:rPr>
          <w:rFonts w:hint="eastAsia" w:ascii="宋体" w:hAnsi="宋体"/>
          <w:kern w:val="0"/>
          <w:sz w:val="24"/>
        </w:rPr>
        <w:t>2025年11月25日，中国核工业二三建设有限公司在海阳组织召开了标准大纲研讨会。中核能源科技有限公司、华能山东石岛湾核电有限公司等单位的专家以及起草工作组成员共18人参会。会议对标准内容进行了认真讨论，对标准的适用范围、框架结构、安装及验收要求等提出了具体的修改意见和建议。</w:t>
      </w:r>
    </w:p>
    <w:p w14:paraId="3695066E">
      <w:pPr>
        <w:spacing w:line="360" w:lineRule="auto"/>
        <w:ind w:firstLine="480" w:firstLineChars="200"/>
        <w:rPr>
          <w:rFonts w:ascii="宋体" w:hAnsi="宋体"/>
          <w:kern w:val="0"/>
          <w:sz w:val="24"/>
        </w:rPr>
      </w:pPr>
      <w:r>
        <w:rPr>
          <w:rFonts w:hint="eastAsia" w:ascii="宋体" w:hAnsi="宋体"/>
          <w:kern w:val="0"/>
          <w:sz w:val="24"/>
        </w:rPr>
        <w:t>起草工作组根据会议意见对标准进行了修改和完善，在此基础上形成征求意见稿，于2026年6月30日将征求意见材料提交至核工业标准化研究所。</w:t>
      </w:r>
    </w:p>
    <w:p w14:paraId="25797C67">
      <w:pPr>
        <w:numPr>
          <w:ilvl w:val="0"/>
          <w:numId w:val="1"/>
        </w:numPr>
        <w:spacing w:before="240" w:after="240" w:line="360" w:lineRule="auto"/>
        <w:rPr>
          <w:rFonts w:hint="eastAsia" w:ascii="黑体" w:hAnsi="黑体" w:eastAsia="黑体"/>
          <w:kern w:val="0"/>
          <w:sz w:val="24"/>
        </w:rPr>
      </w:pPr>
      <w:r>
        <w:rPr>
          <w:rFonts w:hint="eastAsia" w:ascii="黑体" w:eastAsia="黑体"/>
          <w:sz w:val="28"/>
          <w:szCs w:val="28"/>
        </w:rPr>
        <w:t>标准编写原则和主要内容</w:t>
      </w:r>
      <w:bookmarkStart w:id="0" w:name="_Toc361734314"/>
    </w:p>
    <w:bookmarkEnd w:id="0"/>
    <w:p w14:paraId="42D9830E">
      <w:pPr>
        <w:spacing w:before="240" w:line="360" w:lineRule="auto"/>
        <w:rPr>
          <w:rFonts w:hint="eastAsia" w:ascii="黑体" w:hAnsi="黑体" w:eastAsia="黑体"/>
          <w:kern w:val="0"/>
          <w:sz w:val="24"/>
        </w:rPr>
      </w:pPr>
      <w:bookmarkStart w:id="1" w:name="_Toc361669937"/>
      <w:bookmarkEnd w:id="1"/>
      <w:bookmarkStart w:id="2" w:name="_Toc361734315"/>
      <w:r>
        <w:rPr>
          <w:rFonts w:hint="eastAsia" w:ascii="黑体" w:hAnsi="黑体" w:eastAsia="黑体"/>
          <w:kern w:val="0"/>
          <w:sz w:val="24"/>
        </w:rPr>
        <w:t>4.1起草原则</w:t>
      </w:r>
      <w:bookmarkEnd w:id="2"/>
    </w:p>
    <w:p w14:paraId="0547C805">
      <w:pPr>
        <w:spacing w:line="360" w:lineRule="auto"/>
        <w:ind w:firstLine="480"/>
        <w:rPr>
          <w:rFonts w:hint="eastAsia" w:asciiTheme="majorEastAsia" w:hAnsiTheme="majorEastAsia" w:eastAsiaTheme="majorEastAsia"/>
          <w:sz w:val="24"/>
          <w:szCs w:val="28"/>
          <w:lang w:val="de-DE"/>
        </w:rPr>
      </w:pPr>
      <w:r>
        <w:rPr>
          <w:rFonts w:hint="eastAsia" w:asciiTheme="minorEastAsia" w:hAnsiTheme="minorEastAsia"/>
          <w:sz w:val="24"/>
          <w:szCs w:val="28"/>
          <w:lang w:val="de-DE"/>
        </w:rPr>
        <w:t>本标准的起草严格遵照国家核安全技术法规导则，并与现行相关国家标准、行业标准、集团企标保持协调一致。本标准</w:t>
      </w:r>
      <w:r>
        <w:rPr>
          <w:rFonts w:hint="eastAsia" w:asciiTheme="majorEastAsia" w:hAnsiTheme="majorEastAsia" w:eastAsiaTheme="majorEastAsia"/>
          <w:sz w:val="24"/>
          <w:szCs w:val="28"/>
          <w:lang w:val="de-DE"/>
        </w:rPr>
        <w:t xml:space="preserve">按照GB/T 1.1—2020《标准化工作导则 </w:t>
      </w:r>
      <w:r>
        <w:rPr>
          <w:rFonts w:asciiTheme="majorEastAsia" w:hAnsiTheme="majorEastAsia" w:eastAsiaTheme="majorEastAsia"/>
          <w:sz w:val="24"/>
          <w:szCs w:val="28"/>
          <w:lang w:val="de-DE"/>
        </w:rPr>
        <w:t xml:space="preserve"> </w:t>
      </w:r>
      <w:r>
        <w:rPr>
          <w:rFonts w:hint="eastAsia" w:asciiTheme="majorEastAsia" w:hAnsiTheme="majorEastAsia" w:eastAsiaTheme="majorEastAsia"/>
          <w:sz w:val="24"/>
          <w:szCs w:val="28"/>
          <w:lang w:val="de-DE"/>
        </w:rPr>
        <w:t>第1部分：标准化文件的结构和起草规则》以及Q/CNNC JA 2—2013《中国核工业集团公司企业标准编写规则》的规定起草。</w:t>
      </w:r>
    </w:p>
    <w:p w14:paraId="6FC23DFE">
      <w:pPr>
        <w:spacing w:before="240" w:line="360" w:lineRule="auto"/>
        <w:rPr>
          <w:rFonts w:hint="eastAsia" w:ascii="黑体" w:hAnsi="黑体" w:eastAsia="黑体"/>
          <w:kern w:val="0"/>
          <w:sz w:val="24"/>
        </w:rPr>
      </w:pPr>
      <w:r>
        <w:rPr>
          <w:rFonts w:hint="eastAsia" w:ascii="黑体" w:hAnsi="黑体" w:eastAsia="黑体"/>
          <w:kern w:val="0"/>
          <w:sz w:val="24"/>
        </w:rPr>
        <w:t>4.2主要内容</w:t>
      </w:r>
    </w:p>
    <w:p w14:paraId="489DF6F9">
      <w:pPr>
        <w:spacing w:before="240" w:line="360" w:lineRule="auto"/>
        <w:ind w:firstLine="480" w:firstLineChars="200"/>
        <w:rPr>
          <w:rFonts w:hint="eastAsia" w:ascii="黑体" w:hAnsi="黑体" w:eastAsia="黑体"/>
          <w:kern w:val="0"/>
          <w:sz w:val="24"/>
        </w:rPr>
      </w:pPr>
      <w:r>
        <w:rPr>
          <w:rFonts w:hint="eastAsia" w:ascii="黑体" w:hAnsi="黑体" w:eastAsia="黑体"/>
          <w:kern w:val="0"/>
          <w:sz w:val="24"/>
        </w:rPr>
        <w:t>1、主要技术</w:t>
      </w:r>
      <w:r>
        <w:rPr>
          <w:rFonts w:ascii="黑体" w:hAnsi="黑体" w:eastAsia="黑体"/>
          <w:kern w:val="0"/>
          <w:sz w:val="24"/>
        </w:rPr>
        <w:t>内容</w:t>
      </w:r>
      <w:r>
        <w:rPr>
          <w:rFonts w:hint="eastAsia" w:ascii="黑体" w:hAnsi="黑体" w:eastAsia="黑体"/>
          <w:kern w:val="0"/>
          <w:sz w:val="24"/>
        </w:rPr>
        <w:t>说明</w:t>
      </w:r>
    </w:p>
    <w:p w14:paraId="65D4A3E9">
      <w:pPr>
        <w:spacing w:line="360" w:lineRule="auto"/>
        <w:ind w:firstLine="480"/>
        <w:rPr>
          <w:rFonts w:asciiTheme="minorEastAsia" w:hAnsiTheme="minorEastAsia"/>
          <w:sz w:val="24"/>
          <w:szCs w:val="28"/>
          <w:lang w:val="de-DE"/>
        </w:rPr>
      </w:pPr>
      <w:r>
        <w:rPr>
          <w:rFonts w:asciiTheme="minorEastAsia" w:hAnsiTheme="minorEastAsia"/>
          <w:sz w:val="24"/>
          <w:szCs w:val="28"/>
          <w:lang w:val="de-DE"/>
        </w:rPr>
        <w:t>下面按标准的条文顺序对标准内容说明如下。</w:t>
      </w:r>
    </w:p>
    <w:p w14:paraId="29A11902">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1）</w:t>
      </w:r>
      <w:r>
        <w:rPr>
          <w:rFonts w:asciiTheme="minorEastAsia" w:hAnsiTheme="minorEastAsia"/>
          <w:sz w:val="24"/>
          <w:szCs w:val="28"/>
          <w:lang w:val="de-DE"/>
        </w:rPr>
        <w:t>标准结构范围</w:t>
      </w:r>
    </w:p>
    <w:p w14:paraId="244922C4">
      <w:pPr>
        <w:spacing w:line="360" w:lineRule="auto"/>
        <w:ind w:firstLine="480"/>
        <w:rPr>
          <w:rFonts w:asciiTheme="minorEastAsia" w:hAnsiTheme="minorEastAsia"/>
          <w:sz w:val="24"/>
          <w:szCs w:val="28"/>
          <w:lang w:val="de-DE"/>
        </w:rPr>
      </w:pPr>
      <w:r>
        <w:rPr>
          <w:rFonts w:asciiTheme="minorEastAsia" w:hAnsiTheme="minorEastAsia"/>
          <w:sz w:val="24"/>
          <w:szCs w:val="28"/>
          <w:lang w:val="de-DE"/>
        </w:rPr>
        <w:t>本标准主要由范围、规范性引用文件、术语和定义、</w:t>
      </w:r>
      <w:r>
        <w:rPr>
          <w:rFonts w:hint="eastAsia" w:asciiTheme="minorEastAsia" w:hAnsiTheme="minorEastAsia"/>
          <w:sz w:val="24"/>
          <w:szCs w:val="28"/>
          <w:lang w:val="de-DE"/>
        </w:rPr>
        <w:t>一般要求</w:t>
      </w:r>
      <w:r>
        <w:rPr>
          <w:rFonts w:asciiTheme="minorEastAsia" w:hAnsiTheme="minorEastAsia"/>
          <w:sz w:val="24"/>
          <w:szCs w:val="28"/>
          <w:lang w:val="de-DE"/>
        </w:rPr>
        <w:t>、</w:t>
      </w:r>
      <w:r>
        <w:rPr>
          <w:rFonts w:hint="eastAsia" w:asciiTheme="minorEastAsia" w:hAnsiTheme="minorEastAsia"/>
          <w:sz w:val="24"/>
          <w:szCs w:val="28"/>
          <w:lang w:val="de-DE"/>
        </w:rPr>
        <w:t>场外预组装阶段的底部金属堆芯支承结构安装</w:t>
      </w:r>
      <w:r>
        <w:rPr>
          <w:rFonts w:asciiTheme="minorEastAsia" w:hAnsiTheme="minorEastAsia"/>
          <w:sz w:val="24"/>
          <w:szCs w:val="28"/>
          <w:lang w:val="de-DE"/>
        </w:rPr>
        <w:t>、</w:t>
      </w:r>
      <w:r>
        <w:rPr>
          <w:rFonts w:hint="eastAsia" w:asciiTheme="minorEastAsia" w:hAnsiTheme="minorEastAsia"/>
          <w:sz w:val="24"/>
          <w:szCs w:val="28"/>
          <w:lang w:val="de-DE"/>
        </w:rPr>
        <w:t>石墨和碳堆芯支承结构安装</w:t>
      </w:r>
      <w:r>
        <w:rPr>
          <w:rFonts w:asciiTheme="minorEastAsia" w:hAnsiTheme="minorEastAsia"/>
          <w:sz w:val="24"/>
          <w:szCs w:val="28"/>
          <w:lang w:val="de-DE"/>
        </w:rPr>
        <w:t>、</w:t>
      </w:r>
      <w:r>
        <w:rPr>
          <w:rFonts w:hint="eastAsia" w:asciiTheme="minorEastAsia" w:hAnsiTheme="minorEastAsia"/>
          <w:sz w:val="24"/>
          <w:szCs w:val="28"/>
          <w:lang w:val="de-DE"/>
        </w:rPr>
        <w:t>石墨和碳堆芯支承结构的试验</w:t>
      </w:r>
      <w:r>
        <w:rPr>
          <w:rFonts w:asciiTheme="minorEastAsia" w:hAnsiTheme="minorEastAsia"/>
          <w:sz w:val="24"/>
          <w:szCs w:val="28"/>
          <w:lang w:val="de-DE"/>
        </w:rPr>
        <w:t>、</w:t>
      </w:r>
      <w:r>
        <w:rPr>
          <w:rFonts w:hint="eastAsia" w:asciiTheme="minorEastAsia" w:hAnsiTheme="minorEastAsia"/>
          <w:sz w:val="24"/>
          <w:szCs w:val="28"/>
          <w:lang w:val="de-DE"/>
        </w:rPr>
        <w:t>整体预组装阶段中部金属堆芯支承结构安装</w:t>
      </w:r>
      <w:r>
        <w:rPr>
          <w:rFonts w:asciiTheme="minorEastAsia" w:hAnsiTheme="minorEastAsia"/>
          <w:sz w:val="24"/>
          <w:szCs w:val="28"/>
          <w:lang w:val="de-DE"/>
        </w:rPr>
        <w:t>、</w:t>
      </w:r>
      <w:r>
        <w:rPr>
          <w:rFonts w:hint="eastAsia" w:asciiTheme="minorEastAsia" w:hAnsiTheme="minorEastAsia"/>
          <w:sz w:val="24"/>
          <w:szCs w:val="28"/>
          <w:lang w:val="de-DE"/>
        </w:rPr>
        <w:t>陶瓷堆芯支承结构安装完成后金属堆芯支承结构安装</w:t>
      </w:r>
      <w:r>
        <w:rPr>
          <w:rFonts w:asciiTheme="minorEastAsia" w:hAnsiTheme="minorEastAsia"/>
          <w:sz w:val="24"/>
          <w:szCs w:val="28"/>
          <w:lang w:val="de-DE"/>
        </w:rPr>
        <w:t>、</w:t>
      </w:r>
      <w:r>
        <w:rPr>
          <w:rFonts w:hint="eastAsia" w:asciiTheme="minorEastAsia" w:hAnsiTheme="minorEastAsia"/>
          <w:sz w:val="24"/>
          <w:szCs w:val="28"/>
          <w:lang w:val="de-DE"/>
        </w:rPr>
        <w:t>堆芯支承结构整体吊装</w:t>
      </w:r>
      <w:r>
        <w:rPr>
          <w:rFonts w:asciiTheme="minorEastAsia" w:hAnsiTheme="minorEastAsia"/>
          <w:sz w:val="24"/>
          <w:szCs w:val="28"/>
          <w:lang w:val="de-DE"/>
        </w:rPr>
        <w:t>、</w:t>
      </w:r>
      <w:r>
        <w:rPr>
          <w:rFonts w:hint="eastAsia" w:asciiTheme="minorEastAsia" w:hAnsiTheme="minorEastAsia"/>
          <w:sz w:val="24"/>
          <w:szCs w:val="28"/>
          <w:lang w:val="de-DE"/>
        </w:rPr>
        <w:t>验收共</w:t>
      </w:r>
      <w:r>
        <w:rPr>
          <w:rFonts w:asciiTheme="minorEastAsia" w:hAnsiTheme="minorEastAsia"/>
          <w:sz w:val="24"/>
          <w:szCs w:val="28"/>
          <w:lang w:val="de-DE"/>
        </w:rPr>
        <w:t>11个部分组成。</w:t>
      </w:r>
    </w:p>
    <w:p w14:paraId="24C78628">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2）</w:t>
      </w:r>
      <w:r>
        <w:rPr>
          <w:rFonts w:asciiTheme="minorEastAsia" w:hAnsiTheme="minorEastAsia"/>
          <w:sz w:val="24"/>
          <w:szCs w:val="28"/>
          <w:lang w:val="de-DE"/>
        </w:rPr>
        <w:t>范围</w:t>
      </w:r>
    </w:p>
    <w:p w14:paraId="157274EA">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对本标准适用范围进行说明，明确高温气冷堆堆内构件主要包含金属堆内构件及石墨和碳堆内构件两大部分，并对每部分堆内构件包含的部件进行说明，同时说明了本标准内容包含了现场接收、临时贮存、运转、吊装、安装及验收等活动。</w:t>
      </w:r>
    </w:p>
    <w:p w14:paraId="62FBFA51">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3）</w:t>
      </w:r>
      <w:r>
        <w:rPr>
          <w:rFonts w:asciiTheme="minorEastAsia" w:hAnsiTheme="minorEastAsia"/>
          <w:sz w:val="24"/>
          <w:szCs w:val="28"/>
          <w:lang w:val="de-DE"/>
        </w:rPr>
        <w:t>规范性引用文件</w:t>
      </w:r>
    </w:p>
    <w:p w14:paraId="77BECFF0">
      <w:pPr>
        <w:spacing w:line="360" w:lineRule="auto"/>
        <w:ind w:firstLine="480"/>
        <w:rPr>
          <w:rFonts w:asciiTheme="minorEastAsia" w:hAnsiTheme="minorEastAsia"/>
          <w:sz w:val="24"/>
          <w:szCs w:val="28"/>
          <w:lang w:val="de-DE"/>
        </w:rPr>
      </w:pPr>
      <w:r>
        <w:rPr>
          <w:rFonts w:asciiTheme="minorEastAsia" w:hAnsiTheme="minorEastAsia"/>
          <w:sz w:val="24"/>
          <w:szCs w:val="28"/>
          <w:lang w:val="de-DE"/>
        </w:rPr>
        <w:t>规范性引用文件按照团体标准的统一导语，并根据被引用标准的情况，对所引用的标准采用不注日期引用和注日期引用。</w:t>
      </w:r>
    </w:p>
    <w:p w14:paraId="6E3C1435">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4）</w:t>
      </w:r>
      <w:r>
        <w:rPr>
          <w:rFonts w:asciiTheme="minorEastAsia" w:hAnsiTheme="minorEastAsia"/>
          <w:sz w:val="24"/>
          <w:szCs w:val="28"/>
          <w:lang w:val="de-DE"/>
        </w:rPr>
        <w:t>术语和定义</w:t>
      </w:r>
    </w:p>
    <w:p w14:paraId="11E0365C">
      <w:pPr>
        <w:spacing w:line="360" w:lineRule="auto"/>
        <w:ind w:firstLine="480"/>
        <w:rPr>
          <w:rFonts w:asciiTheme="minorEastAsia" w:hAnsiTheme="minorEastAsia"/>
          <w:sz w:val="24"/>
          <w:szCs w:val="28"/>
          <w:lang w:val="de-DE"/>
        </w:rPr>
      </w:pPr>
      <w:r>
        <w:rPr>
          <w:rFonts w:asciiTheme="minorEastAsia" w:hAnsiTheme="minorEastAsia"/>
          <w:sz w:val="24"/>
          <w:szCs w:val="28"/>
          <w:lang w:val="de-DE"/>
        </w:rPr>
        <w:t>为了便于使用者阅读和理解，给出了本标准专用名词的解释。</w:t>
      </w:r>
    </w:p>
    <w:p w14:paraId="619219B2">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5）一般要求</w:t>
      </w:r>
    </w:p>
    <w:p w14:paraId="3CF0BD4C">
      <w:pPr>
        <w:spacing w:line="360" w:lineRule="auto"/>
        <w:ind w:firstLine="480"/>
        <w:rPr>
          <w:rFonts w:hint="eastAsia" w:asciiTheme="minorEastAsia" w:hAnsiTheme="minorEastAsia"/>
          <w:sz w:val="24"/>
          <w:szCs w:val="28"/>
          <w:lang w:val="de-DE"/>
        </w:rPr>
      </w:pPr>
      <w:r>
        <w:rPr>
          <w:rFonts w:hint="eastAsia" w:asciiTheme="minorEastAsia" w:hAnsiTheme="minorEastAsia"/>
          <w:sz w:val="24"/>
          <w:szCs w:val="28"/>
          <w:lang w:val="de-DE"/>
        </w:rPr>
        <w:t>首先对人员、文件、工机具、环境的相关准备工作进行要求，并结合金属堆内构件安装前的清洗，石墨和碳堆内构件安装前的外观质量检查进行要求，同时对堆芯支承结构预装前的条件进行明确。</w:t>
      </w:r>
    </w:p>
    <w:p w14:paraId="7A9ADB35">
      <w:pPr>
        <w:spacing w:line="360" w:lineRule="auto"/>
        <w:ind w:firstLine="480"/>
        <w:rPr>
          <w:rFonts w:asciiTheme="minorEastAsia" w:hAnsiTheme="minorEastAsia"/>
          <w:sz w:val="24"/>
          <w:szCs w:val="28"/>
          <w:lang w:val="de-DE"/>
        </w:rPr>
      </w:pPr>
      <w:bookmarkStart w:id="3" w:name="_Toc207715563"/>
      <w:r>
        <w:rPr>
          <w:rFonts w:hint="eastAsia" w:asciiTheme="minorEastAsia" w:hAnsiTheme="minorEastAsia"/>
          <w:sz w:val="24"/>
          <w:szCs w:val="28"/>
          <w:lang w:val="de-DE"/>
        </w:rPr>
        <w:t>6）场外预组装阶段的底部金属堆芯支承结构安装</w:t>
      </w:r>
      <w:bookmarkEnd w:id="3"/>
    </w:p>
    <w:p w14:paraId="21D86EDA">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对出球连接管、内部屏蔽块、堆芯壳、下支承板、支承滚柱等底部金属堆内结构安装进行要求，重点对堆芯壳吊装就位要求进行详细描述。</w:t>
      </w:r>
    </w:p>
    <w:p w14:paraId="07215892">
      <w:pPr>
        <w:spacing w:line="360" w:lineRule="auto"/>
        <w:ind w:firstLine="480"/>
        <w:rPr>
          <w:rFonts w:asciiTheme="minorEastAsia" w:hAnsiTheme="minorEastAsia"/>
          <w:sz w:val="24"/>
          <w:szCs w:val="28"/>
          <w:lang w:val="de-DE"/>
        </w:rPr>
      </w:pPr>
      <w:bookmarkStart w:id="4" w:name="_Toc207715570"/>
      <w:bookmarkStart w:id="5" w:name="_Toc17473247"/>
      <w:bookmarkStart w:id="6" w:name="_Toc447638190"/>
      <w:r>
        <w:rPr>
          <w:rFonts w:hint="eastAsia" w:asciiTheme="minorEastAsia" w:hAnsiTheme="minorEastAsia"/>
          <w:sz w:val="24"/>
          <w:szCs w:val="28"/>
          <w:lang w:val="de-DE"/>
        </w:rPr>
        <w:t>7）石墨、碳堆芯支承结构安装</w:t>
      </w:r>
      <w:bookmarkEnd w:id="4"/>
      <w:bookmarkEnd w:id="5"/>
      <w:bookmarkEnd w:id="6"/>
    </w:p>
    <w:p w14:paraId="254F956F">
      <w:pPr>
        <w:spacing w:line="360" w:lineRule="auto"/>
        <w:ind w:firstLine="480"/>
        <w:rPr>
          <w:rFonts w:hint="eastAsia" w:asciiTheme="minorEastAsia" w:hAnsiTheme="minorEastAsia"/>
          <w:sz w:val="24"/>
          <w:szCs w:val="28"/>
          <w:lang w:val="de-DE"/>
        </w:rPr>
      </w:pPr>
      <w:r>
        <w:rPr>
          <w:rFonts w:asciiTheme="minorEastAsia" w:hAnsiTheme="minorEastAsia"/>
          <w:sz w:val="24"/>
          <w:szCs w:val="28"/>
          <w:lang w:val="de-DE"/>
        </w:rPr>
        <w:t>本节</w:t>
      </w:r>
      <w:r>
        <w:rPr>
          <w:rFonts w:hint="eastAsia" w:asciiTheme="minorEastAsia" w:hAnsiTheme="minorEastAsia"/>
          <w:sz w:val="24"/>
          <w:szCs w:val="28"/>
          <w:lang w:val="de-DE"/>
        </w:rPr>
        <w:t>给出了石墨和碳堆内构件安装通用要求。同时按照堆内构件安装施工逻辑，分别对底绝热层、</w:t>
      </w:r>
      <w:bookmarkStart w:id="7" w:name="_Toc276716517"/>
      <w:bookmarkStart w:id="8" w:name="_Toc447638192"/>
      <w:bookmarkStart w:id="9" w:name="_Toc17473249"/>
      <w:bookmarkStart w:id="10" w:name="_Toc434311923"/>
      <w:bookmarkStart w:id="11" w:name="_Toc207715572"/>
      <w:r>
        <w:rPr>
          <w:rFonts w:hint="eastAsia" w:asciiTheme="minorEastAsia" w:hAnsiTheme="minorEastAsia"/>
          <w:sz w:val="24"/>
          <w:szCs w:val="28"/>
          <w:lang w:val="de-DE"/>
        </w:rPr>
        <w:t>底绝热层碳砖</w:t>
      </w:r>
      <w:bookmarkEnd w:id="7"/>
      <w:bookmarkEnd w:id="8"/>
      <w:bookmarkEnd w:id="9"/>
      <w:bookmarkEnd w:id="10"/>
      <w:bookmarkEnd w:id="11"/>
      <w:bookmarkStart w:id="12" w:name="_Toc17473250"/>
      <w:bookmarkStart w:id="13" w:name="_Toc447638193"/>
      <w:bookmarkStart w:id="14" w:name="_Toc207715573"/>
      <w:bookmarkStart w:id="15" w:name="_Toc434311925"/>
      <w:r>
        <w:rPr>
          <w:rFonts w:hint="eastAsia" w:asciiTheme="minorEastAsia" w:hAnsiTheme="minorEastAsia"/>
          <w:sz w:val="24"/>
          <w:szCs w:val="28"/>
          <w:lang w:val="de-DE"/>
        </w:rPr>
        <w:t>、底反射层和热气室结构</w:t>
      </w:r>
      <w:bookmarkEnd w:id="12"/>
      <w:bookmarkEnd w:id="13"/>
      <w:bookmarkEnd w:id="14"/>
      <w:bookmarkEnd w:id="15"/>
      <w:bookmarkStart w:id="16" w:name="_Toc447638194"/>
      <w:bookmarkStart w:id="17" w:name="_Toc207715574"/>
      <w:bookmarkStart w:id="18" w:name="_Toc17473251"/>
      <w:r>
        <w:rPr>
          <w:rFonts w:hint="eastAsia" w:asciiTheme="minorEastAsia" w:hAnsiTheme="minorEastAsia"/>
          <w:sz w:val="24"/>
          <w:szCs w:val="28"/>
          <w:lang w:val="de-DE"/>
        </w:rPr>
        <w:t>、反射层石墨砖</w:t>
      </w:r>
      <w:bookmarkEnd w:id="16"/>
      <w:bookmarkEnd w:id="17"/>
      <w:bookmarkEnd w:id="18"/>
      <w:bookmarkStart w:id="19" w:name="_Toc17473252"/>
      <w:bookmarkStart w:id="20" w:name="_Toc434311926"/>
      <w:bookmarkStart w:id="21" w:name="_Toc447638195"/>
      <w:bookmarkStart w:id="22" w:name="_Toc207715575"/>
      <w:r>
        <w:rPr>
          <w:rFonts w:hint="eastAsia" w:asciiTheme="minorEastAsia" w:hAnsiTheme="minorEastAsia"/>
          <w:sz w:val="24"/>
          <w:szCs w:val="28"/>
          <w:lang w:val="de-DE"/>
        </w:rPr>
        <w:t>、侧反射层石墨砖和侧绝热层碳砖</w:t>
      </w:r>
      <w:bookmarkEnd w:id="19"/>
      <w:bookmarkEnd w:id="20"/>
      <w:bookmarkEnd w:id="21"/>
      <w:bookmarkEnd w:id="22"/>
      <w:bookmarkStart w:id="23" w:name="_Toc17473253"/>
      <w:bookmarkStart w:id="24" w:name="_Toc434311928"/>
      <w:bookmarkStart w:id="25" w:name="_Toc447638196"/>
      <w:bookmarkStart w:id="26" w:name="_Toc207715576"/>
      <w:r>
        <w:rPr>
          <w:rFonts w:hint="eastAsia" w:asciiTheme="minorEastAsia" w:hAnsiTheme="minorEastAsia"/>
          <w:sz w:val="24"/>
          <w:szCs w:val="28"/>
          <w:lang w:val="de-DE"/>
        </w:rPr>
        <w:t>、顶反射层石墨砖和侧绝热层碳砖</w:t>
      </w:r>
      <w:bookmarkEnd w:id="23"/>
      <w:bookmarkEnd w:id="24"/>
      <w:bookmarkEnd w:id="25"/>
      <w:bookmarkEnd w:id="26"/>
      <w:bookmarkStart w:id="27" w:name="_Toc17473254"/>
      <w:bookmarkStart w:id="28" w:name="_Toc447638197"/>
      <w:bookmarkStart w:id="29" w:name="_Toc434311929"/>
      <w:bookmarkStart w:id="30" w:name="_Toc207715577"/>
      <w:r>
        <w:rPr>
          <w:rFonts w:hint="eastAsia" w:asciiTheme="minorEastAsia" w:hAnsiTheme="minorEastAsia"/>
          <w:sz w:val="24"/>
          <w:szCs w:val="28"/>
          <w:lang w:val="de-DE"/>
        </w:rPr>
        <w:t>、顶绝热层</w:t>
      </w:r>
      <w:bookmarkEnd w:id="27"/>
      <w:bookmarkEnd w:id="28"/>
      <w:bookmarkEnd w:id="29"/>
      <w:bookmarkEnd w:id="30"/>
      <w:r>
        <w:rPr>
          <w:rFonts w:hint="eastAsia" w:asciiTheme="minorEastAsia" w:hAnsiTheme="minorEastAsia"/>
          <w:sz w:val="24"/>
          <w:szCs w:val="28"/>
          <w:lang w:val="de-DE"/>
        </w:rPr>
        <w:t>、含B4C石墨棒安装进行要求。</w:t>
      </w:r>
    </w:p>
    <w:p w14:paraId="7924863B">
      <w:pPr>
        <w:spacing w:line="360" w:lineRule="auto"/>
        <w:ind w:firstLine="480"/>
        <w:rPr>
          <w:rFonts w:asciiTheme="minorEastAsia" w:hAnsiTheme="minorEastAsia"/>
          <w:sz w:val="24"/>
          <w:szCs w:val="28"/>
          <w:lang w:val="de-DE"/>
        </w:rPr>
      </w:pPr>
      <w:bookmarkStart w:id="31" w:name="_Toc17473256"/>
      <w:bookmarkStart w:id="32" w:name="_Toc447638200"/>
      <w:bookmarkStart w:id="33" w:name="_Toc207715579"/>
      <w:r>
        <w:rPr>
          <w:rFonts w:hint="eastAsia" w:asciiTheme="minorEastAsia" w:hAnsiTheme="minorEastAsia"/>
          <w:sz w:val="24"/>
          <w:szCs w:val="28"/>
          <w:lang w:val="de-DE"/>
        </w:rPr>
        <w:t>8）石墨和碳堆芯支承结构的试验</w:t>
      </w:r>
      <w:bookmarkEnd w:id="31"/>
      <w:bookmarkEnd w:id="32"/>
      <w:bookmarkEnd w:id="33"/>
    </w:p>
    <w:p w14:paraId="093E8D82">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明确石墨和碳堆芯支承结构安装完毕后，需要分别进行燃料球进球管和卸球管、控制棒孔道、吸收球孔道、中子源孔道的通过性试验。</w:t>
      </w:r>
    </w:p>
    <w:p w14:paraId="3FC7624F">
      <w:pPr>
        <w:spacing w:line="360" w:lineRule="auto"/>
        <w:ind w:firstLine="480"/>
        <w:rPr>
          <w:rFonts w:asciiTheme="minorEastAsia" w:hAnsiTheme="minorEastAsia"/>
          <w:sz w:val="24"/>
          <w:szCs w:val="28"/>
          <w:lang w:val="de-DE"/>
        </w:rPr>
      </w:pPr>
      <w:bookmarkStart w:id="34" w:name="_Toc207715580"/>
      <w:r>
        <w:rPr>
          <w:rFonts w:hint="eastAsia" w:asciiTheme="minorEastAsia" w:hAnsiTheme="minorEastAsia"/>
          <w:sz w:val="24"/>
          <w:szCs w:val="28"/>
          <w:lang w:val="de-DE"/>
        </w:rPr>
        <w:t>9）整体预组装阶段中部金属堆芯支承结构安装</w:t>
      </w:r>
      <w:bookmarkEnd w:id="34"/>
    </w:p>
    <w:p w14:paraId="5F133F5F">
      <w:pPr>
        <w:spacing w:line="360" w:lineRule="auto"/>
        <w:ind w:firstLine="480"/>
        <w:rPr>
          <w:rFonts w:hint="eastAsia" w:asciiTheme="minorEastAsia" w:hAnsiTheme="minorEastAsia"/>
          <w:sz w:val="24"/>
          <w:szCs w:val="28"/>
          <w:lang w:val="de-DE"/>
        </w:rPr>
      </w:pPr>
      <w:r>
        <w:rPr>
          <w:rFonts w:asciiTheme="minorEastAsia" w:hAnsiTheme="minorEastAsia"/>
          <w:sz w:val="24"/>
          <w:szCs w:val="28"/>
          <w:lang w:val="de-DE"/>
        </w:rPr>
        <w:t>本节给出了</w:t>
      </w:r>
      <w:r>
        <w:rPr>
          <w:rFonts w:hint="eastAsia" w:asciiTheme="minorEastAsia" w:hAnsiTheme="minorEastAsia"/>
          <w:sz w:val="24"/>
          <w:szCs w:val="28"/>
          <w:lang w:val="de-DE"/>
        </w:rPr>
        <w:t>与石墨和碳堆内构件安装过程中交叉进行安装的下支承板阻流环组件、下支承板榫、氦气孔道管接头、冷氦气孔道金属接管组件、吸收球载球管组件、其他专业的物项如热电偶组件等金属堆内构件的安装要求。</w:t>
      </w:r>
    </w:p>
    <w:p w14:paraId="00731514">
      <w:pPr>
        <w:spacing w:line="360" w:lineRule="auto"/>
        <w:ind w:firstLine="480"/>
        <w:rPr>
          <w:rFonts w:asciiTheme="minorEastAsia" w:hAnsiTheme="minorEastAsia"/>
          <w:sz w:val="24"/>
          <w:szCs w:val="28"/>
          <w:lang w:val="de-DE"/>
        </w:rPr>
      </w:pPr>
      <w:bookmarkStart w:id="35" w:name="_Toc17361654"/>
      <w:bookmarkStart w:id="36" w:name="_Toc207715583"/>
      <w:r>
        <w:rPr>
          <w:rFonts w:hint="eastAsia" w:asciiTheme="minorEastAsia" w:hAnsiTheme="minorEastAsia"/>
          <w:sz w:val="24"/>
          <w:szCs w:val="28"/>
          <w:lang w:val="de-DE"/>
        </w:rPr>
        <w:t>10）陶瓷堆芯支承结构安装完成后金属堆芯支承结构安装</w:t>
      </w:r>
      <w:bookmarkEnd w:id="35"/>
      <w:bookmarkEnd w:id="36"/>
    </w:p>
    <w:p w14:paraId="59FC5384">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本节规定了石墨和碳堆内构件安装完成后，上部金属堆内构件如定位板、压板的安装要求，以及整体预组装完毕后的孔道通过性试验要求。</w:t>
      </w:r>
    </w:p>
    <w:p w14:paraId="401CD216">
      <w:pPr>
        <w:spacing w:line="360" w:lineRule="auto"/>
        <w:ind w:firstLine="480"/>
        <w:rPr>
          <w:rFonts w:asciiTheme="minorEastAsia" w:hAnsiTheme="minorEastAsia"/>
          <w:sz w:val="24"/>
          <w:szCs w:val="28"/>
          <w:lang w:val="de-DE"/>
        </w:rPr>
      </w:pPr>
      <w:bookmarkStart w:id="37" w:name="_Toc207715588"/>
      <w:r>
        <w:rPr>
          <w:rFonts w:hint="eastAsia" w:asciiTheme="minorEastAsia" w:hAnsiTheme="minorEastAsia"/>
          <w:sz w:val="24"/>
          <w:szCs w:val="28"/>
          <w:lang w:val="de-DE"/>
        </w:rPr>
        <w:t>11）堆芯支承结构整体吊装</w:t>
      </w:r>
      <w:bookmarkEnd w:id="37"/>
    </w:p>
    <w:p w14:paraId="2CB460D9">
      <w:pPr>
        <w:spacing w:line="360" w:lineRule="auto"/>
        <w:ind w:firstLine="480"/>
        <w:rPr>
          <w:rFonts w:hint="eastAsia" w:asciiTheme="minorEastAsia" w:hAnsiTheme="minorEastAsia"/>
          <w:sz w:val="24"/>
          <w:szCs w:val="28"/>
          <w:lang w:val="de-DE"/>
        </w:rPr>
      </w:pPr>
      <w:r>
        <w:rPr>
          <w:rFonts w:hint="eastAsia" w:asciiTheme="minorEastAsia" w:hAnsiTheme="minorEastAsia"/>
          <w:sz w:val="24"/>
          <w:szCs w:val="28"/>
          <w:lang w:val="de-DE"/>
        </w:rPr>
        <w:t>堆芯支承结构组装完成后，需要通过整体吊装就位于压力容器筒体内部，本节规定了堆芯支承结构整体吊装就位的安装要求。</w:t>
      </w:r>
    </w:p>
    <w:p w14:paraId="1EF429EB">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12）验收</w:t>
      </w:r>
    </w:p>
    <w:p w14:paraId="11E052C9">
      <w:pPr>
        <w:spacing w:line="360" w:lineRule="auto"/>
        <w:ind w:firstLine="480"/>
        <w:rPr>
          <w:rFonts w:hint="eastAsia" w:asciiTheme="minorEastAsia" w:hAnsiTheme="minorEastAsia"/>
          <w:sz w:val="24"/>
          <w:szCs w:val="28"/>
          <w:lang w:val="de-DE"/>
        </w:rPr>
      </w:pPr>
      <w:r>
        <w:rPr>
          <w:rFonts w:asciiTheme="minorEastAsia" w:hAnsiTheme="minorEastAsia"/>
          <w:sz w:val="24"/>
          <w:szCs w:val="28"/>
          <w:lang w:val="de-DE"/>
        </w:rPr>
        <w:t>本节规定了</w:t>
      </w:r>
      <w:r>
        <w:rPr>
          <w:rFonts w:hint="eastAsia" w:asciiTheme="minorEastAsia" w:hAnsiTheme="minorEastAsia"/>
          <w:sz w:val="24"/>
          <w:szCs w:val="28"/>
          <w:lang w:val="de-DE"/>
        </w:rPr>
        <w:t>除要求安装过程中进行的各种检查均符合安装的技术条件要求外，其它安装技术要求</w:t>
      </w:r>
      <w:r>
        <w:rPr>
          <w:rFonts w:asciiTheme="minorEastAsia" w:hAnsiTheme="minorEastAsia"/>
          <w:sz w:val="24"/>
          <w:szCs w:val="28"/>
          <w:lang w:val="de-DE"/>
        </w:rPr>
        <w:t>。</w:t>
      </w:r>
    </w:p>
    <w:p w14:paraId="025AD923">
      <w:pPr>
        <w:spacing w:before="240" w:line="360" w:lineRule="auto"/>
        <w:ind w:firstLine="480" w:firstLineChars="200"/>
        <w:rPr>
          <w:rFonts w:hint="eastAsia" w:ascii="黑体" w:hAnsi="黑体" w:eastAsia="黑体"/>
          <w:kern w:val="0"/>
          <w:sz w:val="24"/>
        </w:rPr>
      </w:pPr>
      <w:r>
        <w:rPr>
          <w:rFonts w:hint="eastAsia" w:ascii="黑体" w:hAnsi="黑体" w:eastAsia="黑体"/>
          <w:kern w:val="0"/>
          <w:sz w:val="24"/>
        </w:rPr>
        <w:t>2、修订说明（如修订项目）</w:t>
      </w:r>
    </w:p>
    <w:p w14:paraId="61899AB1">
      <w:pPr>
        <w:spacing w:line="360" w:lineRule="auto"/>
        <w:ind w:firstLine="480"/>
        <w:rPr>
          <w:rFonts w:hint="eastAsia" w:asciiTheme="minorEastAsia" w:hAnsiTheme="minorEastAsia"/>
          <w:sz w:val="28"/>
        </w:rPr>
      </w:pPr>
      <w:r>
        <w:rPr>
          <w:rFonts w:hint="eastAsia" w:ascii="Calibri" w:hAnsi="Calibri" w:eastAsia="宋体" w:cs="Times New Roman"/>
          <w:sz w:val="24"/>
        </w:rPr>
        <w:t>本项目不属于修订项目，无相关标准修订内容。</w:t>
      </w:r>
    </w:p>
    <w:p w14:paraId="79C0E63B">
      <w:pPr>
        <w:numPr>
          <w:ilvl w:val="0"/>
          <w:numId w:val="1"/>
        </w:numPr>
        <w:spacing w:before="240" w:after="240" w:line="360" w:lineRule="auto"/>
        <w:rPr>
          <w:rFonts w:hint="eastAsia" w:ascii="黑体" w:hAnsi="宋体" w:eastAsia="黑体"/>
          <w:sz w:val="28"/>
          <w:szCs w:val="28"/>
        </w:rPr>
      </w:pPr>
      <w:r>
        <w:rPr>
          <w:rFonts w:hint="eastAsia" w:ascii="黑体" w:hAnsi="宋体" w:eastAsia="黑体"/>
          <w:sz w:val="28"/>
          <w:szCs w:val="28"/>
        </w:rPr>
        <w:t>国内外相关标准现状分析</w:t>
      </w:r>
    </w:p>
    <w:p w14:paraId="6A5D812A">
      <w:pPr>
        <w:spacing w:before="240" w:line="360" w:lineRule="auto"/>
        <w:rPr>
          <w:rFonts w:ascii="黑体" w:hAnsi="黑体" w:eastAsia="黑体"/>
          <w:kern w:val="0"/>
          <w:sz w:val="24"/>
        </w:rPr>
      </w:pPr>
      <w:r>
        <w:rPr>
          <w:rFonts w:hint="eastAsia" w:ascii="黑体" w:hAnsi="黑体" w:eastAsia="黑体"/>
          <w:kern w:val="0"/>
          <w:sz w:val="24"/>
        </w:rPr>
        <w:t>5.1我国相关标准现状分析</w:t>
      </w:r>
    </w:p>
    <w:p w14:paraId="20311701">
      <w:pPr>
        <w:spacing w:line="360" w:lineRule="auto"/>
        <w:ind w:firstLine="480"/>
        <w:rPr>
          <w:rFonts w:hint="eastAsia" w:asciiTheme="minorEastAsia" w:hAnsiTheme="minorEastAsia"/>
          <w:sz w:val="24"/>
          <w:szCs w:val="28"/>
          <w:lang w:val="de-DE"/>
        </w:rPr>
      </w:pPr>
      <w:r>
        <w:rPr>
          <w:rFonts w:hint="eastAsia" w:asciiTheme="minorEastAsia" w:hAnsiTheme="minorEastAsia"/>
          <w:sz w:val="24"/>
          <w:szCs w:val="28"/>
          <w:lang w:val="de-DE"/>
        </w:rPr>
        <w:t>随着高温气冷堆后续核电的建造规划逐步启动，国内已形成的压水堆核电安装标准并不适用于该堆型。主要原因有：</w:t>
      </w:r>
      <w:r>
        <w:rPr>
          <w:rFonts w:asciiTheme="minorEastAsia" w:hAnsiTheme="minorEastAsia"/>
          <w:sz w:val="24"/>
          <w:szCs w:val="28"/>
          <w:lang w:val="de-DE"/>
        </w:rPr>
        <w:t>1</w:t>
      </w:r>
      <w:r>
        <w:rPr>
          <w:rFonts w:hint="eastAsia" w:asciiTheme="minorEastAsia" w:hAnsiTheme="minorEastAsia"/>
          <w:sz w:val="24"/>
          <w:szCs w:val="28"/>
          <w:lang w:val="de-DE"/>
        </w:rPr>
        <w:t>）堆内构件安装精度高，如堆芯壳组件为大尺寸薄壁结构（直径φ</w:t>
      </w:r>
      <w:r>
        <w:rPr>
          <w:rFonts w:asciiTheme="minorEastAsia" w:hAnsiTheme="minorEastAsia"/>
          <w:sz w:val="24"/>
          <w:szCs w:val="28"/>
          <w:lang w:val="de-DE"/>
        </w:rPr>
        <w:t>5000mm+</w:t>
      </w:r>
      <w:r>
        <w:rPr>
          <w:rFonts w:hint="eastAsia" w:asciiTheme="minorEastAsia" w:hAnsiTheme="minorEastAsia"/>
          <w:sz w:val="24"/>
          <w:szCs w:val="28"/>
          <w:lang w:val="de-DE"/>
        </w:rPr>
        <w:t>），易变形，安装精度要求极高（同轴度≤φ</w:t>
      </w:r>
      <w:r>
        <w:rPr>
          <w:rFonts w:asciiTheme="minorEastAsia" w:hAnsiTheme="minorEastAsia"/>
          <w:sz w:val="24"/>
          <w:szCs w:val="28"/>
          <w:lang w:val="de-DE"/>
        </w:rPr>
        <w:t>1.0mm</w:t>
      </w:r>
      <w:r>
        <w:rPr>
          <w:rFonts w:hint="eastAsia" w:asciiTheme="minorEastAsia" w:hAnsiTheme="minorEastAsia"/>
          <w:sz w:val="24"/>
          <w:szCs w:val="28"/>
          <w:lang w:val="de-DE"/>
        </w:rPr>
        <w:t>，水平度≤</w:t>
      </w:r>
      <w:r>
        <w:rPr>
          <w:rFonts w:asciiTheme="minorEastAsia" w:hAnsiTheme="minorEastAsia"/>
          <w:sz w:val="24"/>
          <w:szCs w:val="28"/>
          <w:lang w:val="de-DE"/>
        </w:rPr>
        <w:t>0.2mm</w:t>
      </w:r>
      <w:r>
        <w:rPr>
          <w:rFonts w:hint="eastAsia" w:asciiTheme="minorEastAsia" w:hAnsiTheme="minorEastAsia"/>
          <w:sz w:val="24"/>
          <w:szCs w:val="28"/>
          <w:lang w:val="de-DE"/>
        </w:rPr>
        <w:t>），石墨和碳堆内构件属于多层、多孔道结构，单层又有很多部件组装而成，层数多、数量大，安装精度高；</w:t>
      </w:r>
      <w:r>
        <w:rPr>
          <w:rFonts w:asciiTheme="minorEastAsia" w:hAnsiTheme="minorEastAsia"/>
          <w:sz w:val="24"/>
          <w:szCs w:val="28"/>
          <w:lang w:val="de-DE"/>
        </w:rPr>
        <w:t>2</w:t>
      </w:r>
      <w:r>
        <w:rPr>
          <w:rFonts w:hint="eastAsia" w:asciiTheme="minorEastAsia" w:hAnsiTheme="minorEastAsia"/>
          <w:sz w:val="24"/>
          <w:szCs w:val="28"/>
          <w:lang w:val="de-DE"/>
        </w:rPr>
        <w:t>）堆内构件多参数协同控制与复杂工艺，需同步控制对中数据（压力容器</w:t>
      </w:r>
      <w:r>
        <w:rPr>
          <w:rFonts w:asciiTheme="minorEastAsia" w:hAnsiTheme="minorEastAsia"/>
          <w:sz w:val="24"/>
          <w:szCs w:val="28"/>
          <w:lang w:val="de-DE"/>
        </w:rPr>
        <w:t>/</w:t>
      </w:r>
      <w:r>
        <w:rPr>
          <w:rFonts w:hint="eastAsia" w:asciiTheme="minorEastAsia" w:hAnsiTheme="minorEastAsia"/>
          <w:sz w:val="24"/>
          <w:szCs w:val="28"/>
          <w:lang w:val="de-DE"/>
        </w:rPr>
        <w:t>热气导管）、水平</w:t>
      </w:r>
      <w:r>
        <w:rPr>
          <w:rFonts w:asciiTheme="minorEastAsia" w:hAnsiTheme="minorEastAsia"/>
          <w:sz w:val="24"/>
          <w:szCs w:val="28"/>
          <w:lang w:val="de-DE"/>
        </w:rPr>
        <w:t>/</w:t>
      </w:r>
      <w:r>
        <w:rPr>
          <w:rFonts w:hint="eastAsia" w:asciiTheme="minorEastAsia" w:hAnsiTheme="minorEastAsia"/>
          <w:sz w:val="24"/>
          <w:szCs w:val="28"/>
          <w:lang w:val="de-DE"/>
        </w:rPr>
        <w:t>垂直度、下支承板安装（</w:t>
      </w:r>
      <w:r>
        <w:rPr>
          <w:rFonts w:asciiTheme="minorEastAsia" w:hAnsiTheme="minorEastAsia"/>
          <w:sz w:val="24"/>
          <w:szCs w:val="28"/>
          <w:lang w:val="de-DE"/>
        </w:rPr>
        <w:t>150</w:t>
      </w:r>
      <w:r>
        <w:rPr>
          <w:rFonts w:hint="eastAsia" w:asciiTheme="minorEastAsia" w:hAnsiTheme="minorEastAsia"/>
          <w:sz w:val="24"/>
          <w:szCs w:val="28"/>
          <w:lang w:val="de-DE"/>
        </w:rPr>
        <w:t>榫位公差±</w:t>
      </w:r>
      <w:r>
        <w:rPr>
          <w:rFonts w:asciiTheme="minorEastAsia" w:hAnsiTheme="minorEastAsia"/>
          <w:sz w:val="24"/>
          <w:szCs w:val="28"/>
          <w:lang w:val="de-DE"/>
        </w:rPr>
        <w:t>0.2mm</w:t>
      </w:r>
      <w:r>
        <w:rPr>
          <w:rFonts w:hint="eastAsia" w:asciiTheme="minorEastAsia" w:hAnsiTheme="minorEastAsia"/>
          <w:sz w:val="24"/>
          <w:szCs w:val="28"/>
          <w:lang w:val="de-DE"/>
        </w:rPr>
        <w:t>），且需垫板实测再加工；3）目前压水堆领域已有堆内构件安装规程（NB/T 20044-2011），其内容涵盖下部堆内构件与RPV组装、上部构件安装和现场收验等，但对高温气冷堆特有的金属堆内构件、石墨和碳堆内构件特殊工艺未作针对性规定，由于高温气冷堆与压水堆堆内构件的结构形式完全不同，安装内容不同，压水堆堆内构件安装技术要求不具备参考意义，目前依赖设计技术规格书进行验收，缺乏统一验收标准，国内目前针对高温气冷堆堆内构件安装的专门规范尚属空白。</w:t>
      </w:r>
    </w:p>
    <w:p w14:paraId="164C46AD">
      <w:pPr>
        <w:spacing w:before="240" w:line="360" w:lineRule="auto"/>
        <w:rPr>
          <w:rFonts w:ascii="黑体" w:hAnsi="黑体" w:eastAsia="黑体"/>
          <w:kern w:val="0"/>
          <w:sz w:val="24"/>
        </w:rPr>
      </w:pPr>
      <w:r>
        <w:rPr>
          <w:rFonts w:hint="eastAsia" w:ascii="黑体" w:hAnsi="黑体" w:eastAsia="黑体"/>
          <w:kern w:val="0"/>
          <w:sz w:val="24"/>
        </w:rPr>
        <w:t>5</w:t>
      </w:r>
      <w:r>
        <w:rPr>
          <w:rFonts w:ascii="黑体" w:hAnsi="黑体" w:eastAsia="黑体"/>
          <w:kern w:val="0"/>
          <w:sz w:val="24"/>
        </w:rPr>
        <w:t>.2国外相关标准现状分析</w:t>
      </w:r>
    </w:p>
    <w:p w14:paraId="1BD81780">
      <w:pPr>
        <w:spacing w:line="360" w:lineRule="auto"/>
        <w:ind w:firstLine="480"/>
        <w:rPr>
          <w:rFonts w:hint="eastAsia" w:asciiTheme="minorEastAsia" w:hAnsiTheme="minorEastAsia"/>
          <w:sz w:val="24"/>
          <w:szCs w:val="28"/>
          <w:lang w:val="de-DE"/>
        </w:rPr>
      </w:pPr>
      <w:r>
        <w:rPr>
          <w:rFonts w:hint="eastAsia" w:asciiTheme="minorEastAsia" w:hAnsiTheme="minorEastAsia"/>
          <w:sz w:val="24"/>
          <w:szCs w:val="28"/>
          <w:lang w:val="de-DE"/>
        </w:rPr>
        <w:t>国际上主要依赖核电通用标准。ASME核电建设规范第III卷第5部（高温反应堆）等，提供了高温气冷堆设计与制造要求，但并未详细覆盖堆内构件的现场安装程序。IAEA的高温气冷堆安全设计指南关注堆芯安全性，不具体涉及安装细节。德国KTA核安全标准（如KTA-3232石墨结构设计要求）为HTR石墨结构提供参考，美国ASME BPVC附录及相关指南也包含核级石墨材料要求。HTR-PM项目设计与制造阶段参考了上述国际规范。但国际上均无专门针对堆内构件安装和验收的技术标准。综上所述，国际上尚缺乏类似规程对高温气冷堆堆内构件安装全过程进行规范，相关工作多依赖工程实践总结。</w:t>
      </w:r>
    </w:p>
    <w:p w14:paraId="795446D6">
      <w:pPr>
        <w:numPr>
          <w:ilvl w:val="0"/>
          <w:numId w:val="1"/>
        </w:numPr>
        <w:spacing w:before="240" w:after="240" w:line="360" w:lineRule="auto"/>
        <w:rPr>
          <w:rFonts w:hint="eastAsia" w:ascii="黑体" w:hAnsi="宋体" w:eastAsia="黑体"/>
          <w:sz w:val="28"/>
          <w:szCs w:val="28"/>
        </w:rPr>
      </w:pPr>
      <w:r>
        <w:rPr>
          <w:rFonts w:hint="eastAsia" w:ascii="黑体" w:hAnsi="宋体" w:eastAsia="黑体"/>
          <w:sz w:val="28"/>
          <w:szCs w:val="28"/>
        </w:rPr>
        <w:t>主要</w:t>
      </w:r>
      <w:r>
        <w:rPr>
          <w:rFonts w:ascii="黑体" w:hAnsi="宋体" w:eastAsia="黑体"/>
          <w:sz w:val="28"/>
          <w:szCs w:val="28"/>
        </w:rPr>
        <w:t>试验验证</w:t>
      </w:r>
      <w:r>
        <w:rPr>
          <w:rFonts w:hint="eastAsia" w:ascii="黑体" w:hAnsi="宋体" w:eastAsia="黑体"/>
          <w:sz w:val="28"/>
          <w:szCs w:val="28"/>
        </w:rPr>
        <w:t>情况和预期达到的效果</w:t>
      </w:r>
    </w:p>
    <w:p w14:paraId="73F3D501">
      <w:pPr>
        <w:spacing w:line="360" w:lineRule="auto"/>
        <w:ind w:firstLine="480"/>
        <w:rPr>
          <w:rFonts w:hint="eastAsia" w:asciiTheme="minorEastAsia" w:hAnsiTheme="minorEastAsia"/>
          <w:sz w:val="24"/>
          <w:szCs w:val="28"/>
          <w:lang w:val="de-DE"/>
        </w:rPr>
      </w:pPr>
      <w:r>
        <w:rPr>
          <w:rFonts w:hint="eastAsia" w:asciiTheme="minorEastAsia" w:hAnsiTheme="minorEastAsia"/>
          <w:sz w:val="24"/>
          <w:szCs w:val="28"/>
          <w:lang w:val="de-DE"/>
        </w:rPr>
        <w:t>本标准充分结合已成功商运的</w:t>
      </w:r>
      <w:r>
        <w:rPr>
          <w:rFonts w:asciiTheme="minorEastAsia" w:hAnsiTheme="minorEastAsia"/>
          <w:sz w:val="24"/>
          <w:szCs w:val="28"/>
          <w:lang w:val="de-DE"/>
        </w:rPr>
        <w:t>200MW</w:t>
      </w:r>
      <w:r>
        <w:rPr>
          <w:rFonts w:hint="eastAsia" w:asciiTheme="minorEastAsia" w:hAnsiTheme="minorEastAsia"/>
          <w:sz w:val="24"/>
          <w:szCs w:val="28"/>
          <w:lang w:val="de-DE"/>
        </w:rPr>
        <w:t>高温气冷堆示范工程施工技术要求和经验，并经过</w:t>
      </w:r>
      <w:r>
        <w:rPr>
          <w:rFonts w:asciiTheme="minorEastAsia" w:hAnsiTheme="minorEastAsia"/>
          <w:sz w:val="24"/>
          <w:szCs w:val="28"/>
          <w:lang w:val="de-DE"/>
        </w:rPr>
        <w:t>600MW</w:t>
      </w:r>
      <w:r>
        <w:rPr>
          <w:rFonts w:hint="eastAsia" w:asciiTheme="minorEastAsia" w:hAnsiTheme="minorEastAsia"/>
          <w:sz w:val="24"/>
          <w:szCs w:val="28"/>
          <w:lang w:val="de-DE"/>
        </w:rPr>
        <w:t>高温气冷堆建造逐步优化与完善，每项安装技术要求均经过工程实践验证，且应用效果良好，有效减少了机组建设总工期，降低了现场施工的质量风险，确保了堆内构件安装施工有序推进。已具备固化形成高温气冷堆核电厂堆内构件安装标准的基础。</w:t>
      </w:r>
    </w:p>
    <w:p w14:paraId="1CE0A74F">
      <w:pPr>
        <w:spacing w:line="360" w:lineRule="auto"/>
        <w:ind w:firstLine="480"/>
        <w:rPr>
          <w:rFonts w:asciiTheme="minorEastAsia" w:hAnsiTheme="minorEastAsia"/>
          <w:sz w:val="24"/>
          <w:szCs w:val="28"/>
          <w:lang w:val="de-DE"/>
        </w:rPr>
      </w:pPr>
      <w:r>
        <w:rPr>
          <w:rFonts w:hint="eastAsia" w:asciiTheme="minorEastAsia" w:hAnsiTheme="minorEastAsia"/>
          <w:sz w:val="24"/>
          <w:szCs w:val="28"/>
          <w:lang w:val="de-DE"/>
        </w:rPr>
        <w:t>本标准发布后，</w:t>
      </w:r>
      <w:r>
        <w:rPr>
          <w:rFonts w:asciiTheme="minorEastAsia" w:hAnsiTheme="minorEastAsia"/>
          <w:sz w:val="24"/>
          <w:szCs w:val="28"/>
          <w:lang w:val="de-DE"/>
        </w:rPr>
        <w:t>促进</w:t>
      </w:r>
      <w:r>
        <w:rPr>
          <w:rFonts w:hint="eastAsia" w:asciiTheme="minorEastAsia" w:hAnsiTheme="minorEastAsia"/>
          <w:sz w:val="24"/>
          <w:szCs w:val="28"/>
          <w:lang w:val="de-DE"/>
        </w:rPr>
        <w:t>高温气冷堆</w:t>
      </w:r>
      <w:r>
        <w:rPr>
          <w:rFonts w:asciiTheme="minorEastAsia" w:hAnsiTheme="minorEastAsia"/>
          <w:sz w:val="24"/>
          <w:szCs w:val="28"/>
          <w:lang w:val="de-DE"/>
        </w:rPr>
        <w:t>后续批量化工程高质量推进，预计可在</w:t>
      </w:r>
      <w:r>
        <w:rPr>
          <w:rFonts w:hint="eastAsia" w:asciiTheme="minorEastAsia" w:hAnsiTheme="minorEastAsia"/>
          <w:sz w:val="24"/>
          <w:szCs w:val="28"/>
          <w:lang w:val="de-DE"/>
        </w:rPr>
        <w:t>徐圩</w:t>
      </w:r>
      <w:r>
        <w:rPr>
          <w:rFonts w:asciiTheme="minorEastAsia" w:hAnsiTheme="minorEastAsia"/>
          <w:sz w:val="24"/>
          <w:szCs w:val="28"/>
          <w:lang w:val="de-DE"/>
        </w:rPr>
        <w:t>、霞浦、茂名及舟山等多个高温气冷堆核电站应用，</w:t>
      </w:r>
      <w:r>
        <w:rPr>
          <w:rFonts w:hint="eastAsia" w:asciiTheme="minorEastAsia" w:hAnsiTheme="minorEastAsia"/>
          <w:sz w:val="24"/>
          <w:szCs w:val="28"/>
          <w:lang w:val="de-DE"/>
        </w:rPr>
        <w:t>有力推动了我国核电建造产业的标准化、模块化和规模化发展，可进一步完善核电建造标准体系，</w:t>
      </w:r>
      <w:r>
        <w:rPr>
          <w:rFonts w:asciiTheme="minorEastAsia" w:hAnsiTheme="minorEastAsia"/>
          <w:sz w:val="24"/>
          <w:szCs w:val="28"/>
          <w:lang w:val="de-DE"/>
        </w:rPr>
        <w:t>同时也为后续高温气冷堆走出去提供</w:t>
      </w:r>
      <w:r>
        <w:rPr>
          <w:rFonts w:hint="eastAsia" w:asciiTheme="minorEastAsia" w:hAnsiTheme="minorEastAsia"/>
          <w:sz w:val="24"/>
          <w:szCs w:val="28"/>
          <w:lang w:val="de-DE"/>
        </w:rPr>
        <w:t>支撑</w:t>
      </w:r>
      <w:r>
        <w:rPr>
          <w:rFonts w:asciiTheme="minorEastAsia" w:hAnsiTheme="minorEastAsia"/>
          <w:sz w:val="24"/>
          <w:szCs w:val="28"/>
          <w:lang w:val="de-DE"/>
        </w:rPr>
        <w:t>。</w:t>
      </w:r>
    </w:p>
    <w:p w14:paraId="141BCBBC">
      <w:pPr>
        <w:numPr>
          <w:ilvl w:val="0"/>
          <w:numId w:val="1"/>
        </w:numPr>
        <w:spacing w:before="240" w:after="240" w:line="360" w:lineRule="auto"/>
        <w:rPr>
          <w:rFonts w:ascii="黑体" w:eastAsia="黑体"/>
          <w:sz w:val="28"/>
          <w:szCs w:val="28"/>
        </w:rPr>
      </w:pPr>
      <w:r>
        <w:rPr>
          <w:rFonts w:hint="eastAsia" w:ascii="黑体" w:eastAsia="黑体"/>
          <w:sz w:val="28"/>
          <w:szCs w:val="28"/>
        </w:rPr>
        <w:t>与现行法律、法规、政策及相关标准的协调性</w:t>
      </w:r>
    </w:p>
    <w:p w14:paraId="18A6F20A">
      <w:pPr>
        <w:pStyle w:val="24"/>
        <w:spacing w:line="360" w:lineRule="auto"/>
        <w:ind w:firstLine="480"/>
        <w:rPr>
          <w:rFonts w:hint="eastAsia" w:asciiTheme="minorEastAsia" w:hAnsiTheme="minorEastAsia"/>
          <w:sz w:val="24"/>
          <w:szCs w:val="28"/>
          <w:lang w:val="de-DE"/>
        </w:rPr>
      </w:pPr>
      <w:r>
        <w:rPr>
          <w:rFonts w:hint="eastAsia" w:ascii="黑体" w:hAnsi="宋体"/>
          <w:sz w:val="24"/>
          <w:szCs w:val="28"/>
          <w:lang w:val="de-DE"/>
        </w:rPr>
        <w:t>本标准技术内容符合国家核安全技术法规</w:t>
      </w:r>
      <w:r>
        <w:rPr>
          <w:rFonts w:hint="eastAsia" w:ascii="黑体" w:hAnsi="宋体"/>
          <w:sz w:val="24"/>
          <w:szCs w:val="28"/>
        </w:rPr>
        <w:t>及</w:t>
      </w:r>
      <w:r>
        <w:rPr>
          <w:rFonts w:hint="eastAsia" w:ascii="黑体" w:hAnsi="宋体"/>
          <w:sz w:val="24"/>
          <w:szCs w:val="28"/>
          <w:lang w:val="de-DE"/>
        </w:rPr>
        <w:t>导则要求。本标准技术内容</w:t>
      </w:r>
      <w:r>
        <w:rPr>
          <w:rFonts w:hint="eastAsia" w:asciiTheme="minorEastAsia" w:hAnsiTheme="minorEastAsia"/>
          <w:sz w:val="24"/>
          <w:szCs w:val="28"/>
          <w:lang w:val="de-DE"/>
        </w:rPr>
        <w:t>与行业标准</w:t>
      </w:r>
      <w:r>
        <w:rPr>
          <w:rFonts w:asciiTheme="minorEastAsia" w:hAnsiTheme="minorEastAsia"/>
          <w:sz w:val="24"/>
          <w:szCs w:val="28"/>
          <w:lang w:val="de-DE"/>
        </w:rPr>
        <w:t>NB/T 20044-2011</w:t>
      </w:r>
      <w:r>
        <w:rPr>
          <w:rFonts w:hint="eastAsia" w:asciiTheme="minorEastAsia" w:hAnsiTheme="minorEastAsia"/>
          <w:sz w:val="24"/>
          <w:szCs w:val="28"/>
          <w:lang w:val="de-DE"/>
        </w:rPr>
        <w:t>《</w:t>
      </w:r>
      <w:r>
        <w:rPr>
          <w:rFonts w:asciiTheme="minorEastAsia" w:hAnsiTheme="minorEastAsia"/>
          <w:sz w:val="24"/>
          <w:szCs w:val="28"/>
          <w:lang w:val="de-DE"/>
        </w:rPr>
        <w:t>压水堆核电厂堆内构件安装及验收技术规程</w:t>
      </w:r>
      <w:r>
        <w:rPr>
          <w:rFonts w:hint="eastAsia" w:asciiTheme="minorEastAsia" w:hAnsiTheme="minorEastAsia"/>
          <w:sz w:val="24"/>
          <w:szCs w:val="28"/>
          <w:lang w:val="de-DE"/>
        </w:rPr>
        <w:t>》协调一致。</w:t>
      </w:r>
    </w:p>
    <w:p w14:paraId="3E093D75">
      <w:pPr>
        <w:numPr>
          <w:ilvl w:val="0"/>
          <w:numId w:val="1"/>
        </w:numPr>
        <w:spacing w:before="240" w:after="240" w:line="360" w:lineRule="auto"/>
        <w:rPr>
          <w:rFonts w:ascii="黑体" w:eastAsia="黑体"/>
          <w:sz w:val="28"/>
          <w:szCs w:val="28"/>
        </w:rPr>
      </w:pPr>
      <w:r>
        <w:rPr>
          <w:rFonts w:hint="eastAsia" w:ascii="黑体" w:eastAsia="黑体"/>
          <w:sz w:val="28"/>
          <w:szCs w:val="28"/>
        </w:rPr>
        <w:t>贯彻标准的要求和措施建议</w:t>
      </w:r>
    </w:p>
    <w:p w14:paraId="36E4EBAB">
      <w:pPr>
        <w:pStyle w:val="24"/>
        <w:spacing w:line="360" w:lineRule="auto"/>
        <w:ind w:firstLine="480"/>
        <w:rPr>
          <w:rFonts w:ascii="黑体" w:hAnsi="宋体"/>
          <w:sz w:val="24"/>
          <w:szCs w:val="28"/>
          <w:lang w:val="de-DE"/>
        </w:rPr>
      </w:pPr>
      <w:r>
        <w:rPr>
          <w:rFonts w:hint="eastAsia" w:ascii="黑体" w:hAnsi="宋体"/>
          <w:sz w:val="24"/>
          <w:szCs w:val="28"/>
          <w:lang w:val="de-DE"/>
        </w:rPr>
        <w:t>本标准发布后，建议中核能源科技有限公司、中国核工业二三建设有限公司、中国核电工程有限公司和中核山东核能有限公司等相关设计、建造、运营单位采用，本标准发布后立即实施。</w:t>
      </w:r>
    </w:p>
    <w:p w14:paraId="3877FF6A">
      <w:pPr>
        <w:numPr>
          <w:ilvl w:val="0"/>
          <w:numId w:val="1"/>
        </w:numPr>
        <w:spacing w:before="240" w:after="240" w:line="360" w:lineRule="auto"/>
        <w:rPr>
          <w:rFonts w:ascii="黑体" w:eastAsia="黑体"/>
          <w:sz w:val="28"/>
          <w:szCs w:val="28"/>
        </w:rPr>
      </w:pPr>
      <w:r>
        <w:rPr>
          <w:rFonts w:hint="eastAsia" w:ascii="黑体" w:eastAsia="黑体"/>
          <w:sz w:val="28"/>
          <w:szCs w:val="28"/>
        </w:rPr>
        <w:t>重大分歧意见的处理经过和依据</w:t>
      </w:r>
    </w:p>
    <w:p w14:paraId="0AFAEDCB">
      <w:pPr>
        <w:pStyle w:val="24"/>
        <w:spacing w:line="360" w:lineRule="auto"/>
        <w:ind w:firstLine="480"/>
        <w:rPr>
          <w:rFonts w:hint="eastAsia" w:ascii="黑体" w:hAnsi="宋体"/>
          <w:sz w:val="24"/>
          <w:szCs w:val="28"/>
          <w:lang w:val="de-DE"/>
        </w:rPr>
      </w:pPr>
      <w:r>
        <w:rPr>
          <w:rFonts w:hint="eastAsia" w:ascii="黑体" w:hAnsi="宋体"/>
          <w:sz w:val="24"/>
          <w:szCs w:val="28"/>
          <w:lang w:val="de-DE"/>
        </w:rPr>
        <w:t>本标准起草过程中无重大分歧意见。</w:t>
      </w:r>
    </w:p>
    <w:p w14:paraId="02813390">
      <w:pPr>
        <w:numPr>
          <w:ilvl w:val="0"/>
          <w:numId w:val="1"/>
        </w:numPr>
        <w:spacing w:before="240" w:after="240" w:line="360" w:lineRule="auto"/>
        <w:rPr>
          <w:rFonts w:ascii="黑体" w:eastAsia="黑体"/>
          <w:sz w:val="28"/>
          <w:szCs w:val="28"/>
        </w:rPr>
      </w:pPr>
      <w:r>
        <w:rPr>
          <w:rFonts w:hint="eastAsia" w:ascii="黑体" w:eastAsia="黑体"/>
          <w:sz w:val="28"/>
          <w:szCs w:val="28"/>
        </w:rPr>
        <w:t>涉及专利的有关说明</w:t>
      </w:r>
    </w:p>
    <w:p w14:paraId="2AD1212B">
      <w:pPr>
        <w:pStyle w:val="24"/>
        <w:spacing w:line="360" w:lineRule="auto"/>
        <w:ind w:firstLine="480"/>
        <w:rPr>
          <w:rFonts w:hint="eastAsia" w:ascii="黑体" w:hAnsi="宋体"/>
          <w:sz w:val="24"/>
          <w:szCs w:val="28"/>
          <w:lang w:val="de-DE"/>
        </w:rPr>
      </w:pPr>
      <w:r>
        <w:rPr>
          <w:rFonts w:hint="eastAsia" w:ascii="黑体" w:hAnsi="宋体"/>
          <w:sz w:val="24"/>
          <w:szCs w:val="28"/>
          <w:lang w:val="de-DE"/>
        </w:rPr>
        <w:t>本标准不涉及专利。</w:t>
      </w:r>
    </w:p>
    <w:p w14:paraId="6A0ABF21">
      <w:pPr>
        <w:numPr>
          <w:ilvl w:val="0"/>
          <w:numId w:val="1"/>
        </w:numPr>
        <w:spacing w:before="240" w:after="240" w:line="360" w:lineRule="auto"/>
        <w:rPr>
          <w:rFonts w:ascii="黑体" w:eastAsia="黑体"/>
          <w:sz w:val="28"/>
          <w:szCs w:val="28"/>
        </w:rPr>
      </w:pPr>
      <w:r>
        <w:rPr>
          <w:rFonts w:ascii="黑体" w:eastAsia="黑体"/>
          <w:sz w:val="28"/>
          <w:szCs w:val="28"/>
        </w:rPr>
        <w:t>其它事项</w:t>
      </w:r>
    </w:p>
    <w:p w14:paraId="02EED62F">
      <w:pPr>
        <w:spacing w:line="360" w:lineRule="auto"/>
        <w:ind w:firstLine="480" w:firstLineChars="200"/>
        <w:rPr>
          <w:rFonts w:ascii="黑体" w:eastAsia="黑体"/>
          <w:sz w:val="28"/>
          <w:szCs w:val="28"/>
        </w:rPr>
      </w:pPr>
      <w:r>
        <w:rPr>
          <w:rFonts w:hint="eastAsia"/>
          <w:sz w:val="24"/>
        </w:rPr>
        <w:t>无/调整申请等情况</w:t>
      </w:r>
      <w:r>
        <w:rPr>
          <w:rFonts w:hint="eastAsia" w:ascii="黑体" w:hAnsi="宋体"/>
          <w:sz w:val="24"/>
          <w:szCs w:val="28"/>
          <w:lang w:val="de-DE"/>
        </w:rPr>
        <w:t>。</w:t>
      </w:r>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0EBDC0">
    <w:pPr>
      <w:pStyle w:val="8"/>
      <w:jc w:val="center"/>
    </w:pPr>
  </w:p>
  <w:p w14:paraId="37352674">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00474950"/>
    </w:sdtPr>
    <w:sdtEndPr>
      <w:rPr>
        <w:rFonts w:asciiTheme="minorEastAsia" w:hAnsiTheme="minorEastAsia"/>
        <w:sz w:val="21"/>
        <w:szCs w:val="21"/>
      </w:rPr>
    </w:sdtEndPr>
    <w:sdtContent>
      <w:p w14:paraId="2D70635B">
        <w:pPr>
          <w:pStyle w:val="8"/>
          <w:jc w:val="center"/>
          <w:rPr>
            <w:rFonts w:hint="eastAsia" w:asciiTheme="minorEastAsia" w:hAnsiTheme="minorEastAsia"/>
            <w:sz w:val="21"/>
            <w:szCs w:val="21"/>
          </w:rPr>
        </w:pPr>
        <w:r>
          <w:rPr>
            <w:rFonts w:asciiTheme="minorEastAsia" w:hAnsiTheme="minorEastAsia"/>
            <w:sz w:val="21"/>
            <w:szCs w:val="21"/>
          </w:rPr>
          <w:fldChar w:fldCharType="begin"/>
        </w:r>
        <w:r>
          <w:rPr>
            <w:rFonts w:asciiTheme="minorEastAsia" w:hAnsiTheme="minorEastAsia"/>
            <w:sz w:val="21"/>
            <w:szCs w:val="21"/>
          </w:rPr>
          <w:instrText xml:space="preserve">PAGE   \* MERGEFORMAT</w:instrText>
        </w:r>
        <w:r>
          <w:rPr>
            <w:rFonts w:asciiTheme="minorEastAsia" w:hAnsiTheme="minorEastAsia"/>
            <w:sz w:val="21"/>
            <w:szCs w:val="21"/>
          </w:rPr>
          <w:fldChar w:fldCharType="separate"/>
        </w:r>
        <w:r>
          <w:rPr>
            <w:rFonts w:asciiTheme="minorEastAsia" w:hAnsiTheme="minorEastAsia"/>
            <w:sz w:val="21"/>
            <w:szCs w:val="21"/>
            <w:lang w:val="zh-CN"/>
          </w:rPr>
          <w:t>2</w:t>
        </w:r>
        <w:r>
          <w:rPr>
            <w:rFonts w:asciiTheme="minorEastAsia" w:hAnsiTheme="minorEastAsia"/>
            <w:sz w:val="21"/>
            <w:szCs w:val="21"/>
          </w:rPr>
          <w:fldChar w:fldCharType="end"/>
        </w:r>
      </w:p>
    </w:sdtContent>
  </w:sdt>
  <w:p w14:paraId="1793BE58">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4E3D38"/>
    <w:multiLevelType w:val="multilevel"/>
    <w:tmpl w:val="2D4E3D38"/>
    <w:lvl w:ilvl="0" w:tentative="0">
      <w:start w:val="1"/>
      <w:numFmt w:val="japaneseCounting"/>
      <w:lvlText w:val="%1、"/>
      <w:lvlJc w:val="left"/>
      <w:pPr>
        <w:tabs>
          <w:tab w:val="left" w:pos="720"/>
        </w:tabs>
        <w:ind w:left="720" w:hanging="720"/>
      </w:pPr>
      <w:rPr>
        <w:rFonts w:hint="eastAsia"/>
        <w:sz w:val="28"/>
        <w:szCs w:val="28"/>
      </w:rPr>
    </w:lvl>
    <w:lvl w:ilvl="1" w:tentative="0">
      <w:start w:val="1"/>
      <w:numFmt w:val="decimal"/>
      <w:lvlText w:val="%2."/>
      <w:lvlJc w:val="left"/>
      <w:pPr>
        <w:tabs>
          <w:tab w:val="left" w:pos="840"/>
        </w:tabs>
        <w:ind w:left="840" w:hanging="4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3D5D6A"/>
    <w:rsid w:val="0001035E"/>
    <w:rsid w:val="00020F20"/>
    <w:rsid w:val="00032502"/>
    <w:rsid w:val="000352E2"/>
    <w:rsid w:val="00036EF6"/>
    <w:rsid w:val="00053FEC"/>
    <w:rsid w:val="0006333A"/>
    <w:rsid w:val="0006411B"/>
    <w:rsid w:val="0006596B"/>
    <w:rsid w:val="00066DB3"/>
    <w:rsid w:val="0008573B"/>
    <w:rsid w:val="00087647"/>
    <w:rsid w:val="00091E9C"/>
    <w:rsid w:val="000A366A"/>
    <w:rsid w:val="000E4C1C"/>
    <w:rsid w:val="000E59E1"/>
    <w:rsid w:val="000E6B69"/>
    <w:rsid w:val="000F2FED"/>
    <w:rsid w:val="00120BF8"/>
    <w:rsid w:val="00135FE4"/>
    <w:rsid w:val="00162AC3"/>
    <w:rsid w:val="001662F4"/>
    <w:rsid w:val="00171731"/>
    <w:rsid w:val="0018410B"/>
    <w:rsid w:val="0018750C"/>
    <w:rsid w:val="001A04B6"/>
    <w:rsid w:val="001C3A26"/>
    <w:rsid w:val="001C4ED9"/>
    <w:rsid w:val="001D1932"/>
    <w:rsid w:val="001D1C95"/>
    <w:rsid w:val="001D2686"/>
    <w:rsid w:val="001D53B0"/>
    <w:rsid w:val="001D5C80"/>
    <w:rsid w:val="001D7C70"/>
    <w:rsid w:val="001F3979"/>
    <w:rsid w:val="001F78E8"/>
    <w:rsid w:val="002248E2"/>
    <w:rsid w:val="00230930"/>
    <w:rsid w:val="00231B37"/>
    <w:rsid w:val="0023271D"/>
    <w:rsid w:val="00255933"/>
    <w:rsid w:val="0026281F"/>
    <w:rsid w:val="00262F65"/>
    <w:rsid w:val="00263F77"/>
    <w:rsid w:val="00271E11"/>
    <w:rsid w:val="00272FB6"/>
    <w:rsid w:val="00277521"/>
    <w:rsid w:val="002837DD"/>
    <w:rsid w:val="002A3631"/>
    <w:rsid w:val="002B4EF8"/>
    <w:rsid w:val="002C70FD"/>
    <w:rsid w:val="002E7FC9"/>
    <w:rsid w:val="002F19CD"/>
    <w:rsid w:val="003023D6"/>
    <w:rsid w:val="003054DF"/>
    <w:rsid w:val="00347448"/>
    <w:rsid w:val="003477F4"/>
    <w:rsid w:val="00360720"/>
    <w:rsid w:val="00360880"/>
    <w:rsid w:val="0036585E"/>
    <w:rsid w:val="00374640"/>
    <w:rsid w:val="00376793"/>
    <w:rsid w:val="00377A70"/>
    <w:rsid w:val="00380A66"/>
    <w:rsid w:val="00384434"/>
    <w:rsid w:val="0039353C"/>
    <w:rsid w:val="00397253"/>
    <w:rsid w:val="003A7847"/>
    <w:rsid w:val="003C1750"/>
    <w:rsid w:val="003D5D6A"/>
    <w:rsid w:val="003D6964"/>
    <w:rsid w:val="003D73E7"/>
    <w:rsid w:val="003E0D1B"/>
    <w:rsid w:val="003F4F38"/>
    <w:rsid w:val="0041093F"/>
    <w:rsid w:val="0041513D"/>
    <w:rsid w:val="00421780"/>
    <w:rsid w:val="00434B44"/>
    <w:rsid w:val="004351D2"/>
    <w:rsid w:val="004570FA"/>
    <w:rsid w:val="004629BF"/>
    <w:rsid w:val="0047220A"/>
    <w:rsid w:val="004818B1"/>
    <w:rsid w:val="00482C0B"/>
    <w:rsid w:val="00487D8A"/>
    <w:rsid w:val="0049012E"/>
    <w:rsid w:val="00493B74"/>
    <w:rsid w:val="00494F73"/>
    <w:rsid w:val="004A39CA"/>
    <w:rsid w:val="004B012F"/>
    <w:rsid w:val="004B1ED8"/>
    <w:rsid w:val="004C1E82"/>
    <w:rsid w:val="004C4BB3"/>
    <w:rsid w:val="004D5C7C"/>
    <w:rsid w:val="004E1878"/>
    <w:rsid w:val="00500ABF"/>
    <w:rsid w:val="00501090"/>
    <w:rsid w:val="00510B30"/>
    <w:rsid w:val="00535B6B"/>
    <w:rsid w:val="00565379"/>
    <w:rsid w:val="00577081"/>
    <w:rsid w:val="00583F07"/>
    <w:rsid w:val="00592463"/>
    <w:rsid w:val="00593417"/>
    <w:rsid w:val="005C060A"/>
    <w:rsid w:val="005D2B6F"/>
    <w:rsid w:val="005D459D"/>
    <w:rsid w:val="005E7DA2"/>
    <w:rsid w:val="005F1089"/>
    <w:rsid w:val="005F324A"/>
    <w:rsid w:val="006015F7"/>
    <w:rsid w:val="00604D60"/>
    <w:rsid w:val="00624A40"/>
    <w:rsid w:val="00656297"/>
    <w:rsid w:val="006807F9"/>
    <w:rsid w:val="006842A7"/>
    <w:rsid w:val="0069218C"/>
    <w:rsid w:val="006A3ED7"/>
    <w:rsid w:val="006A5A31"/>
    <w:rsid w:val="006B0792"/>
    <w:rsid w:val="006C67AB"/>
    <w:rsid w:val="006D2527"/>
    <w:rsid w:val="006D2A2A"/>
    <w:rsid w:val="006D654C"/>
    <w:rsid w:val="006E39BB"/>
    <w:rsid w:val="006F71DF"/>
    <w:rsid w:val="00726B81"/>
    <w:rsid w:val="0073764F"/>
    <w:rsid w:val="00737BD6"/>
    <w:rsid w:val="00741DD1"/>
    <w:rsid w:val="00762A7F"/>
    <w:rsid w:val="007640A6"/>
    <w:rsid w:val="00765F81"/>
    <w:rsid w:val="007823B4"/>
    <w:rsid w:val="007945C1"/>
    <w:rsid w:val="007949F2"/>
    <w:rsid w:val="007C6FFA"/>
    <w:rsid w:val="007E7B06"/>
    <w:rsid w:val="008049C5"/>
    <w:rsid w:val="00822669"/>
    <w:rsid w:val="0082296F"/>
    <w:rsid w:val="008272B6"/>
    <w:rsid w:val="00830678"/>
    <w:rsid w:val="00832DCD"/>
    <w:rsid w:val="00841E8E"/>
    <w:rsid w:val="00860227"/>
    <w:rsid w:val="00861D8F"/>
    <w:rsid w:val="0087331D"/>
    <w:rsid w:val="008948AF"/>
    <w:rsid w:val="00897716"/>
    <w:rsid w:val="008B7981"/>
    <w:rsid w:val="008C08D5"/>
    <w:rsid w:val="008C15E6"/>
    <w:rsid w:val="008C1B69"/>
    <w:rsid w:val="008D2FD7"/>
    <w:rsid w:val="008D5EBD"/>
    <w:rsid w:val="008D5EDF"/>
    <w:rsid w:val="008E636A"/>
    <w:rsid w:val="008F447D"/>
    <w:rsid w:val="00911329"/>
    <w:rsid w:val="00930ED7"/>
    <w:rsid w:val="00943FCA"/>
    <w:rsid w:val="00944650"/>
    <w:rsid w:val="00946F21"/>
    <w:rsid w:val="00953C06"/>
    <w:rsid w:val="009656CB"/>
    <w:rsid w:val="009666A8"/>
    <w:rsid w:val="0096672D"/>
    <w:rsid w:val="00991817"/>
    <w:rsid w:val="009A07E0"/>
    <w:rsid w:val="009A3084"/>
    <w:rsid w:val="009A3AEB"/>
    <w:rsid w:val="009C2184"/>
    <w:rsid w:val="009D5501"/>
    <w:rsid w:val="009E1897"/>
    <w:rsid w:val="00A02C1A"/>
    <w:rsid w:val="00A036B1"/>
    <w:rsid w:val="00A1629E"/>
    <w:rsid w:val="00A23528"/>
    <w:rsid w:val="00A332CC"/>
    <w:rsid w:val="00A3410F"/>
    <w:rsid w:val="00A41EDF"/>
    <w:rsid w:val="00A454E1"/>
    <w:rsid w:val="00A513CB"/>
    <w:rsid w:val="00A52E1A"/>
    <w:rsid w:val="00A539F9"/>
    <w:rsid w:val="00A80789"/>
    <w:rsid w:val="00A85ED0"/>
    <w:rsid w:val="00A94B8A"/>
    <w:rsid w:val="00AA0012"/>
    <w:rsid w:val="00AA1D40"/>
    <w:rsid w:val="00AA7212"/>
    <w:rsid w:val="00AB1BC4"/>
    <w:rsid w:val="00AB7EB3"/>
    <w:rsid w:val="00AC6EC0"/>
    <w:rsid w:val="00AD0BFB"/>
    <w:rsid w:val="00AD1385"/>
    <w:rsid w:val="00AD342B"/>
    <w:rsid w:val="00AD4BFC"/>
    <w:rsid w:val="00AE2E13"/>
    <w:rsid w:val="00B1176B"/>
    <w:rsid w:val="00B17A0B"/>
    <w:rsid w:val="00B27905"/>
    <w:rsid w:val="00B349BD"/>
    <w:rsid w:val="00B43477"/>
    <w:rsid w:val="00B464BF"/>
    <w:rsid w:val="00B46840"/>
    <w:rsid w:val="00B565BB"/>
    <w:rsid w:val="00B66BA8"/>
    <w:rsid w:val="00B67AB9"/>
    <w:rsid w:val="00B75C75"/>
    <w:rsid w:val="00B80B98"/>
    <w:rsid w:val="00B833F4"/>
    <w:rsid w:val="00B86AC2"/>
    <w:rsid w:val="00B87C55"/>
    <w:rsid w:val="00B90D7E"/>
    <w:rsid w:val="00B94209"/>
    <w:rsid w:val="00BA5C3D"/>
    <w:rsid w:val="00BA7714"/>
    <w:rsid w:val="00BB232B"/>
    <w:rsid w:val="00BB5C26"/>
    <w:rsid w:val="00BE5AE0"/>
    <w:rsid w:val="00BF17D0"/>
    <w:rsid w:val="00BF3CE3"/>
    <w:rsid w:val="00BF53A9"/>
    <w:rsid w:val="00C10AE7"/>
    <w:rsid w:val="00C158DF"/>
    <w:rsid w:val="00C37E1D"/>
    <w:rsid w:val="00C37F78"/>
    <w:rsid w:val="00C632FF"/>
    <w:rsid w:val="00C70CFC"/>
    <w:rsid w:val="00C82498"/>
    <w:rsid w:val="00CA1A9A"/>
    <w:rsid w:val="00CB4F95"/>
    <w:rsid w:val="00CC5982"/>
    <w:rsid w:val="00CE54C8"/>
    <w:rsid w:val="00D04AF0"/>
    <w:rsid w:val="00D12DB6"/>
    <w:rsid w:val="00D377FB"/>
    <w:rsid w:val="00D71FE2"/>
    <w:rsid w:val="00D81FA0"/>
    <w:rsid w:val="00D82D77"/>
    <w:rsid w:val="00D86897"/>
    <w:rsid w:val="00D90C74"/>
    <w:rsid w:val="00DA0699"/>
    <w:rsid w:val="00DA0763"/>
    <w:rsid w:val="00DC337B"/>
    <w:rsid w:val="00DD3CF8"/>
    <w:rsid w:val="00DD4EE0"/>
    <w:rsid w:val="00DE1542"/>
    <w:rsid w:val="00DE6559"/>
    <w:rsid w:val="00E05368"/>
    <w:rsid w:val="00E10B69"/>
    <w:rsid w:val="00E26821"/>
    <w:rsid w:val="00E360CB"/>
    <w:rsid w:val="00E36FC3"/>
    <w:rsid w:val="00E76A7B"/>
    <w:rsid w:val="00E90100"/>
    <w:rsid w:val="00E9625E"/>
    <w:rsid w:val="00EA4970"/>
    <w:rsid w:val="00EB3A01"/>
    <w:rsid w:val="00EC5B04"/>
    <w:rsid w:val="00EE5E5C"/>
    <w:rsid w:val="00EF1882"/>
    <w:rsid w:val="00EF4C74"/>
    <w:rsid w:val="00F147EB"/>
    <w:rsid w:val="00F17050"/>
    <w:rsid w:val="00F30D51"/>
    <w:rsid w:val="00F35566"/>
    <w:rsid w:val="00F35DF2"/>
    <w:rsid w:val="00F3622B"/>
    <w:rsid w:val="00F424E8"/>
    <w:rsid w:val="00F45DC7"/>
    <w:rsid w:val="00F605AE"/>
    <w:rsid w:val="00F67197"/>
    <w:rsid w:val="00F705C5"/>
    <w:rsid w:val="00F90CC9"/>
    <w:rsid w:val="00F915CB"/>
    <w:rsid w:val="00F95E18"/>
    <w:rsid w:val="00FA44BA"/>
    <w:rsid w:val="00FA6510"/>
    <w:rsid w:val="00FC3B05"/>
    <w:rsid w:val="00FD2C1D"/>
    <w:rsid w:val="00FE741B"/>
    <w:rsid w:val="099044F7"/>
    <w:rsid w:val="1A3058F9"/>
    <w:rsid w:val="2C041C52"/>
    <w:rsid w:val="39095EBD"/>
    <w:rsid w:val="401C0E4D"/>
    <w:rsid w:val="465F41FD"/>
    <w:rsid w:val="5B9067AF"/>
    <w:rsid w:val="7C7750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1"/>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3"/>
    <w:unhideWhenUsed/>
    <w:qFormat/>
    <w:uiPriority w:val="9"/>
    <w:pPr>
      <w:keepNext/>
      <w:keepLines/>
      <w:spacing w:before="260" w:after="260" w:line="416" w:lineRule="auto"/>
      <w:outlineLvl w:val="2"/>
    </w:pPr>
    <w:rPr>
      <w:b/>
      <w:bCs/>
      <w:sz w:val="32"/>
      <w:szCs w:val="32"/>
    </w:rPr>
  </w:style>
  <w:style w:type="character" w:default="1" w:styleId="14">
    <w:name w:val="Default Paragraph Font"/>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9"/>
    <w:semiHidden/>
    <w:unhideWhenUsed/>
    <w:qFormat/>
    <w:uiPriority w:val="99"/>
    <w:pPr>
      <w:jc w:val="left"/>
    </w:pPr>
  </w:style>
  <w:style w:type="paragraph" w:styleId="6">
    <w:name w:val="Body Text"/>
    <w:basedOn w:val="1"/>
    <w:link w:val="31"/>
    <w:qFormat/>
    <w:uiPriority w:val="1"/>
    <w:pPr>
      <w:autoSpaceDE w:val="0"/>
      <w:autoSpaceDN w:val="0"/>
      <w:jc w:val="left"/>
    </w:pPr>
    <w:rPr>
      <w:rFonts w:ascii="宋体" w:hAnsi="宋体" w:eastAsia="宋体" w:cs="宋体"/>
      <w:kern w:val="0"/>
      <w:sz w:val="32"/>
      <w:szCs w:val="32"/>
      <w:lang w:eastAsia="en-US"/>
    </w:rPr>
  </w:style>
  <w:style w:type="paragraph" w:styleId="7">
    <w:name w:val="Balloon Text"/>
    <w:basedOn w:val="1"/>
    <w:link w:val="27"/>
    <w:semiHidden/>
    <w:unhideWhenUsed/>
    <w:qFormat/>
    <w:uiPriority w:val="99"/>
    <w:rPr>
      <w:sz w:val="18"/>
      <w:szCs w:val="18"/>
    </w:rPr>
  </w:style>
  <w:style w:type="paragraph" w:styleId="8">
    <w:name w:val="footer"/>
    <w:basedOn w:val="1"/>
    <w:link w:val="19"/>
    <w:unhideWhenUsed/>
    <w:qFormat/>
    <w:uiPriority w:val="99"/>
    <w:pPr>
      <w:tabs>
        <w:tab w:val="center" w:pos="4153"/>
        <w:tab w:val="right" w:pos="8306"/>
      </w:tabs>
      <w:snapToGrid w:val="0"/>
      <w:jc w:val="left"/>
    </w:pPr>
    <w:rPr>
      <w:sz w:val="18"/>
      <w:szCs w:val="18"/>
    </w:rPr>
  </w:style>
  <w:style w:type="paragraph" w:styleId="9">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28"/>
    <w:semiHidden/>
    <w:unhideWhenUsed/>
    <w:qFormat/>
    <w:uiPriority w:val="99"/>
    <w:pPr>
      <w:snapToGrid w:val="0"/>
      <w:jc w:val="left"/>
    </w:pPr>
    <w:rPr>
      <w:sz w:val="18"/>
      <w:szCs w:val="18"/>
    </w:rPr>
  </w:style>
  <w:style w:type="paragraph" w:styleId="11">
    <w:name w:val="Title"/>
    <w:basedOn w:val="1"/>
    <w:next w:val="1"/>
    <w:link w:val="30"/>
    <w:qFormat/>
    <w:uiPriority w:val="10"/>
    <w:pPr>
      <w:spacing w:before="240" w:after="60"/>
      <w:jc w:val="center"/>
      <w:outlineLvl w:val="0"/>
    </w:pPr>
    <w:rPr>
      <w:rFonts w:eastAsia="宋体" w:asciiTheme="majorHAnsi" w:hAnsiTheme="majorHAnsi" w:cstheme="majorBidi"/>
      <w:b/>
      <w:bCs/>
      <w:sz w:val="32"/>
      <w:szCs w:val="32"/>
    </w:rPr>
  </w:style>
  <w:style w:type="table" w:styleId="13">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99"/>
  </w:style>
  <w:style w:type="character" w:styleId="16">
    <w:name w:val="annotation reference"/>
    <w:basedOn w:val="14"/>
    <w:semiHidden/>
    <w:unhideWhenUsed/>
    <w:qFormat/>
    <w:uiPriority w:val="99"/>
    <w:rPr>
      <w:sz w:val="21"/>
      <w:szCs w:val="21"/>
    </w:rPr>
  </w:style>
  <w:style w:type="character" w:styleId="17">
    <w:name w:val="footnote reference"/>
    <w:basedOn w:val="14"/>
    <w:semiHidden/>
    <w:unhideWhenUsed/>
    <w:qFormat/>
    <w:uiPriority w:val="99"/>
    <w:rPr>
      <w:vertAlign w:val="superscript"/>
    </w:rPr>
  </w:style>
  <w:style w:type="character" w:customStyle="1" w:styleId="18">
    <w:name w:val="页眉 字符"/>
    <w:basedOn w:val="14"/>
    <w:link w:val="9"/>
    <w:qFormat/>
    <w:uiPriority w:val="99"/>
    <w:rPr>
      <w:sz w:val="18"/>
      <w:szCs w:val="18"/>
    </w:rPr>
  </w:style>
  <w:style w:type="character" w:customStyle="1" w:styleId="19">
    <w:name w:val="页脚 字符"/>
    <w:basedOn w:val="14"/>
    <w:link w:val="8"/>
    <w:qFormat/>
    <w:uiPriority w:val="99"/>
    <w:rPr>
      <w:sz w:val="18"/>
      <w:szCs w:val="18"/>
    </w:rPr>
  </w:style>
  <w:style w:type="paragraph" w:styleId="20">
    <w:name w:val="List Paragraph"/>
    <w:basedOn w:val="1"/>
    <w:qFormat/>
    <w:uiPriority w:val="34"/>
    <w:pPr>
      <w:ind w:firstLine="420" w:firstLineChars="200"/>
    </w:pPr>
  </w:style>
  <w:style w:type="character" w:customStyle="1" w:styleId="21">
    <w:name w:val="标题 1 字符"/>
    <w:basedOn w:val="14"/>
    <w:link w:val="2"/>
    <w:qFormat/>
    <w:uiPriority w:val="9"/>
    <w:rPr>
      <w:b/>
      <w:bCs/>
      <w:kern w:val="44"/>
      <w:sz w:val="44"/>
      <w:szCs w:val="44"/>
    </w:rPr>
  </w:style>
  <w:style w:type="character" w:customStyle="1" w:styleId="22">
    <w:name w:val="标题 2 字符"/>
    <w:basedOn w:val="14"/>
    <w:link w:val="3"/>
    <w:qFormat/>
    <w:uiPriority w:val="9"/>
    <w:rPr>
      <w:rFonts w:asciiTheme="majorHAnsi" w:hAnsiTheme="majorHAnsi" w:eastAsiaTheme="majorEastAsia" w:cstheme="majorBidi"/>
      <w:b/>
      <w:bCs/>
      <w:sz w:val="32"/>
      <w:szCs w:val="32"/>
    </w:rPr>
  </w:style>
  <w:style w:type="character" w:customStyle="1" w:styleId="23">
    <w:name w:val="标题 3 字符"/>
    <w:basedOn w:val="14"/>
    <w:link w:val="4"/>
    <w:qFormat/>
    <w:uiPriority w:val="9"/>
    <w:rPr>
      <w:b/>
      <w:bCs/>
      <w:sz w:val="32"/>
      <w:szCs w:val="32"/>
    </w:rPr>
  </w:style>
  <w:style w:type="paragraph" w:customStyle="1" w:styleId="24">
    <w:name w:val="段"/>
    <w:link w:val="25"/>
    <w:qFormat/>
    <w:uiPriority w:val="99"/>
    <w:pPr>
      <w:tabs>
        <w:tab w:val="center" w:pos="4201"/>
        <w:tab w:val="right" w:leader="dot" w:pos="9298"/>
      </w:tabs>
      <w:autoSpaceDE w:val="0"/>
      <w:autoSpaceDN w:val="0"/>
      <w:ind w:firstLine="420" w:firstLineChars="200"/>
      <w:jc w:val="both"/>
    </w:pPr>
    <w:rPr>
      <w:rFonts w:ascii="宋体" w:hAnsi="Times New Roman" w:eastAsia="宋体" w:cs="宋体"/>
      <w:sz w:val="21"/>
      <w:szCs w:val="21"/>
      <w:lang w:val="en-US" w:eastAsia="zh-CN" w:bidi="ar-SA"/>
    </w:rPr>
  </w:style>
  <w:style w:type="character" w:customStyle="1" w:styleId="25">
    <w:name w:val="段 Char"/>
    <w:basedOn w:val="14"/>
    <w:link w:val="24"/>
    <w:qFormat/>
    <w:locked/>
    <w:uiPriority w:val="99"/>
    <w:rPr>
      <w:rFonts w:ascii="宋体" w:hAnsi="Times New Roman" w:eastAsia="宋体" w:cs="宋体"/>
      <w:kern w:val="0"/>
      <w:szCs w:val="21"/>
    </w:rPr>
  </w:style>
  <w:style w:type="paragraph" w:customStyle="1" w:styleId="26">
    <w:name w:val="CM49"/>
    <w:basedOn w:val="1"/>
    <w:next w:val="1"/>
    <w:qFormat/>
    <w:uiPriority w:val="0"/>
    <w:pPr>
      <w:autoSpaceDE w:val="0"/>
      <w:autoSpaceDN w:val="0"/>
      <w:adjustRightInd w:val="0"/>
      <w:spacing w:after="305"/>
      <w:jc w:val="left"/>
    </w:pPr>
    <w:rPr>
      <w:rFonts w:ascii="宋体" w:hAnsi="Times New Roman" w:eastAsia="宋体" w:cs="宋体"/>
      <w:kern w:val="0"/>
      <w:sz w:val="24"/>
      <w:szCs w:val="24"/>
    </w:rPr>
  </w:style>
  <w:style w:type="character" w:customStyle="1" w:styleId="27">
    <w:name w:val="批注框文本 字符"/>
    <w:basedOn w:val="14"/>
    <w:link w:val="7"/>
    <w:semiHidden/>
    <w:qFormat/>
    <w:uiPriority w:val="99"/>
    <w:rPr>
      <w:sz w:val="18"/>
      <w:szCs w:val="18"/>
    </w:rPr>
  </w:style>
  <w:style w:type="character" w:customStyle="1" w:styleId="28">
    <w:name w:val="脚注文本 字符"/>
    <w:basedOn w:val="14"/>
    <w:link w:val="10"/>
    <w:semiHidden/>
    <w:qFormat/>
    <w:uiPriority w:val="99"/>
    <w:rPr>
      <w:sz w:val="18"/>
      <w:szCs w:val="18"/>
    </w:rPr>
  </w:style>
  <w:style w:type="character" w:customStyle="1" w:styleId="29">
    <w:name w:val="批注文字 字符"/>
    <w:basedOn w:val="14"/>
    <w:link w:val="5"/>
    <w:semiHidden/>
    <w:qFormat/>
    <w:uiPriority w:val="99"/>
  </w:style>
  <w:style w:type="character" w:customStyle="1" w:styleId="30">
    <w:name w:val="标题 字符"/>
    <w:basedOn w:val="14"/>
    <w:link w:val="11"/>
    <w:qFormat/>
    <w:uiPriority w:val="10"/>
    <w:rPr>
      <w:rFonts w:eastAsia="宋体" w:asciiTheme="majorHAnsi" w:hAnsiTheme="majorHAnsi" w:cstheme="majorBidi"/>
      <w:b/>
      <w:bCs/>
      <w:sz w:val="32"/>
      <w:szCs w:val="32"/>
    </w:rPr>
  </w:style>
  <w:style w:type="character" w:customStyle="1" w:styleId="31">
    <w:name w:val="正文文本 字符"/>
    <w:basedOn w:val="14"/>
    <w:link w:val="6"/>
    <w:qFormat/>
    <w:uiPriority w:val="1"/>
    <w:rPr>
      <w:rFonts w:ascii="宋体" w:hAnsi="宋体" w:eastAsia="宋体" w:cs="宋体"/>
      <w:kern w:val="0"/>
      <w:sz w:val="32"/>
      <w:szCs w:val="32"/>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2014-02-18T00:00:00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datastoreItem>
</file>

<file path=docProps/app.xml><?xml version="1.0" encoding="utf-8"?>
<Properties xmlns="http://schemas.openxmlformats.org/officeDocument/2006/extended-properties" xmlns:vt="http://schemas.openxmlformats.org/officeDocument/2006/docPropsVTypes">
  <Template>Normal.dotm</Template>
  <Company>http://www.deepbbs.org</Company>
  <Pages>7</Pages>
  <Words>3113</Words>
  <Characters>3259</Characters>
  <Lines>30</Lines>
  <Paragraphs>8</Paragraphs>
  <TotalTime>316</TotalTime>
  <ScaleCrop>false</ScaleCrop>
  <LinksUpToDate>false</LinksUpToDate>
  <CharactersWithSpaces>3277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2014-02-18T02:12:00Z</dcterms:created>
  <dc:creator>deeplm</dc:creator>
  <cp:lastModifiedBy>momo</cp:lastModifiedBy>
  <cp:lastPrinted>2014-03-17T03:12:00Z</cp:lastPrinted>
  <dcterms:modified xsi:type="dcterms:W3CDTF">2026-07-13T07:41:20Z</dcterms:modified>
  <dc:title>认可程序说明和背景介绍</dc:title>
  <cp:revision>203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eyJoZGlkIjoiZTk2MjMzMDU2MGYxYTJiMTM5YWVmNmYxZWI1OTU3NzUiLCJ1c2VySWQiOiIxNTc4NjQxMzMwIn0=</vt:lpwstr>
  </property>
  <property fmtid="{D5CDD505-2E9C-101B-9397-08002B2CF9AE}" pid="3" name="KSOProductBuildVer">
    <vt:lpwstr>2052-12.1.0.25225</vt:lpwstr>
  </property>
  <property fmtid="{D5CDD505-2E9C-101B-9397-08002B2CF9AE}" pid="4" name="ICV">
    <vt:lpwstr>92E11124750B4986BB0337F331991277_12</vt:lpwstr>
  </property>
</Properties>
</file>